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B970F" w14:textId="062B6908" w:rsidR="00C206DF" w:rsidRPr="00992865" w:rsidRDefault="00C206DF" w:rsidP="00C206DF">
      <w:pPr>
        <w:tabs>
          <w:tab w:val="center" w:pos="4153"/>
          <w:tab w:val="right" w:pos="9923"/>
        </w:tabs>
        <w:spacing w:after="120" w:line="240" w:lineRule="auto"/>
        <w:jc w:val="both"/>
        <w:rPr>
          <w:rFonts w:eastAsia="Malgun Gothic"/>
          <w:b/>
          <w:bCs/>
          <w:sz w:val="28"/>
          <w:lang w:val="en-GB" w:eastAsia="ko-KR"/>
        </w:rPr>
      </w:pPr>
      <w:bookmarkStart w:id="0" w:name="_GoBack"/>
      <w:bookmarkEnd w:id="0"/>
      <w:r w:rsidRPr="00992865">
        <w:rPr>
          <w:rFonts w:eastAsia="Malgun Gothic"/>
          <w:b/>
          <w:bCs/>
          <w:sz w:val="28"/>
          <w:lang w:val="en-GB"/>
        </w:rPr>
        <w:t>3GPP TSG-RAN WG4 Meeting #9</w:t>
      </w:r>
      <w:r w:rsidR="00F66C96" w:rsidRPr="00992865">
        <w:rPr>
          <w:rFonts w:eastAsia="Malgun Gothic"/>
          <w:b/>
          <w:bCs/>
          <w:sz w:val="28"/>
          <w:lang w:val="en-GB"/>
        </w:rPr>
        <w:t>7</w:t>
      </w:r>
      <w:r w:rsidRPr="00992865">
        <w:rPr>
          <w:rFonts w:eastAsia="Malgun Gothic"/>
          <w:b/>
          <w:bCs/>
          <w:sz w:val="28"/>
          <w:lang w:val="en-GB"/>
        </w:rPr>
        <w:t>-e</w:t>
      </w:r>
      <w:r w:rsidRPr="00992865">
        <w:rPr>
          <w:rFonts w:eastAsia="Malgun Gothic"/>
          <w:b/>
          <w:bCs/>
          <w:sz w:val="28"/>
          <w:lang w:val="en-GB"/>
        </w:rPr>
        <w:tab/>
      </w:r>
      <w:r w:rsidR="00992865" w:rsidRPr="00992865">
        <w:rPr>
          <w:rFonts w:eastAsia="Malgun Gothic"/>
          <w:b/>
          <w:bCs/>
          <w:sz w:val="28"/>
          <w:lang w:val="en-GB"/>
        </w:rPr>
        <w:t>R4-2016370</w:t>
      </w:r>
    </w:p>
    <w:p w14:paraId="495EDF62" w14:textId="157016DE" w:rsidR="00C206DF" w:rsidRPr="007A3A96" w:rsidRDefault="00C206DF" w:rsidP="00C206DF">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F66C96">
        <w:rPr>
          <w:rFonts w:eastAsia="Malgun Gothic"/>
          <w:b/>
          <w:bCs/>
          <w:sz w:val="28"/>
          <w:lang w:eastAsia="ko-KR"/>
        </w:rPr>
        <w:t xml:space="preserve">Electronic Meeting, </w:t>
      </w:r>
      <w:r w:rsidR="00F66C96" w:rsidRPr="00F66C96">
        <w:rPr>
          <w:rFonts w:eastAsia="Malgun Gothic"/>
          <w:b/>
          <w:bCs/>
          <w:sz w:val="28"/>
          <w:lang w:eastAsia="ko-KR"/>
        </w:rPr>
        <w:t>2</w:t>
      </w:r>
      <w:r w:rsidR="00F66C96" w:rsidRPr="00F66C96">
        <w:rPr>
          <w:rFonts w:eastAsia="Malgun Gothic"/>
          <w:b/>
          <w:bCs/>
          <w:sz w:val="28"/>
          <w:vertAlign w:val="superscript"/>
          <w:lang w:eastAsia="ko-KR"/>
        </w:rPr>
        <w:t>nd</w:t>
      </w:r>
      <w:r w:rsidR="00F66C96" w:rsidRPr="00F66C96">
        <w:rPr>
          <w:rFonts w:eastAsia="Malgun Gothic"/>
          <w:b/>
          <w:bCs/>
          <w:sz w:val="28"/>
          <w:lang w:eastAsia="ko-KR"/>
        </w:rPr>
        <w:t xml:space="preserve"> </w:t>
      </w:r>
      <w:r w:rsidRPr="00F66C96">
        <w:rPr>
          <w:b/>
          <w:noProof/>
          <w:sz w:val="28"/>
        </w:rPr>
        <w:t xml:space="preserve">– </w:t>
      </w:r>
      <w:r w:rsidR="00F66C96" w:rsidRPr="00F66C96">
        <w:rPr>
          <w:b/>
          <w:noProof/>
          <w:sz w:val="28"/>
        </w:rPr>
        <w:t>13</w:t>
      </w:r>
      <w:r w:rsidR="00F66C96" w:rsidRPr="00F66C96">
        <w:rPr>
          <w:b/>
          <w:noProof/>
          <w:sz w:val="28"/>
          <w:vertAlign w:val="superscript"/>
        </w:rPr>
        <w:t>th</w:t>
      </w:r>
      <w:r w:rsidR="00F66C96" w:rsidRPr="00F66C96">
        <w:rPr>
          <w:b/>
          <w:noProof/>
          <w:sz w:val="28"/>
        </w:rPr>
        <w:t xml:space="preserve"> November </w:t>
      </w:r>
      <w:r w:rsidRPr="00F66C96">
        <w:rPr>
          <w:b/>
          <w:noProof/>
          <w:sz w:val="28"/>
        </w:rPr>
        <w:t>2020</w:t>
      </w:r>
    </w:p>
    <w:p w14:paraId="57AC90A3" w14:textId="77777777" w:rsidR="00C206DF" w:rsidRPr="007A3A96" w:rsidRDefault="00C206DF" w:rsidP="00C206DF">
      <w:pPr>
        <w:rPr>
          <w:bCs/>
        </w:rPr>
      </w:pPr>
      <w:r w:rsidRPr="007A3A96">
        <w:rPr>
          <w:b/>
        </w:rPr>
        <w:t>Source:</w:t>
      </w:r>
      <w:r w:rsidRPr="007A3A96">
        <w:rPr>
          <w:b/>
        </w:rPr>
        <w:tab/>
      </w:r>
      <w:r w:rsidRPr="007A3A96">
        <w:rPr>
          <w:b/>
        </w:rPr>
        <w:tab/>
      </w:r>
      <w:r w:rsidRPr="007A3A96">
        <w:t>Rohde &amp; Schwarz</w:t>
      </w:r>
    </w:p>
    <w:p w14:paraId="1235957C" w14:textId="6BA1E754" w:rsidR="00C206DF" w:rsidRPr="00EE112E" w:rsidRDefault="00C206DF" w:rsidP="00C206DF">
      <w:pPr>
        <w:ind w:left="2160" w:hanging="2160"/>
        <w:rPr>
          <w:b/>
          <w:lang w:val="en-GB"/>
        </w:rPr>
      </w:pPr>
      <w:r w:rsidRPr="00EE112E">
        <w:rPr>
          <w:b/>
          <w:lang w:val="en-GB"/>
        </w:rPr>
        <w:t>Title:</w:t>
      </w:r>
      <w:r w:rsidRPr="00EE112E">
        <w:rPr>
          <w:b/>
          <w:lang w:val="en-GB"/>
        </w:rPr>
        <w:tab/>
      </w:r>
      <w:r w:rsidR="00F66C96" w:rsidRPr="00F66C96">
        <w:rPr>
          <w:lang w:val="en-GB"/>
        </w:rPr>
        <w:t>Plane Wave Synthesizer – Pending MU term</w:t>
      </w:r>
      <w:r w:rsidR="00992865">
        <w:rPr>
          <w:lang w:val="en-GB"/>
        </w:rPr>
        <w:t xml:space="preserve">s </w:t>
      </w:r>
      <w:r w:rsidR="00992865">
        <w:rPr>
          <w:lang w:val="en-GB"/>
        </w:rPr>
        <w:t xml:space="preserve">from </w:t>
      </w:r>
      <w:r w:rsidR="00992865" w:rsidRPr="004F7D0D">
        <w:rPr>
          <w:lang w:val="en-GB"/>
        </w:rPr>
        <w:t>4.2GHz</w:t>
      </w:r>
      <w:r w:rsidR="00992865">
        <w:rPr>
          <w:lang w:val="en-GB"/>
        </w:rPr>
        <w:t xml:space="preserve"> to 6GHz</w:t>
      </w:r>
    </w:p>
    <w:p w14:paraId="2CB4687A" w14:textId="2F10347D" w:rsidR="00C206DF" w:rsidRPr="00002048" w:rsidRDefault="00C206DF" w:rsidP="00C206DF">
      <w:pPr>
        <w:rPr>
          <w:bCs/>
          <w:lang w:val="en-GB" w:eastAsia="ja-JP"/>
        </w:rPr>
      </w:pPr>
      <w:r w:rsidRPr="00002048">
        <w:rPr>
          <w:b/>
          <w:lang w:val="en-GB"/>
        </w:rPr>
        <w:t>Agenda Item:</w:t>
      </w:r>
      <w:r w:rsidRPr="00002048">
        <w:rPr>
          <w:lang w:val="en-GB"/>
        </w:rPr>
        <w:tab/>
      </w:r>
      <w:r w:rsidRPr="00002048">
        <w:rPr>
          <w:lang w:val="en-GB"/>
        </w:rPr>
        <w:tab/>
      </w:r>
      <w:r w:rsidR="00002048" w:rsidRPr="00002048">
        <w:rPr>
          <w:lang w:val="en-GB"/>
        </w:rPr>
        <w:t>7.</w:t>
      </w:r>
      <w:r w:rsidR="00016C07">
        <w:rPr>
          <w:lang w:val="en-GB"/>
        </w:rPr>
        <w:t>17</w:t>
      </w:r>
      <w:r w:rsidR="00002048" w:rsidRPr="00002048">
        <w:rPr>
          <w:lang w:val="en-GB"/>
        </w:rPr>
        <w:t>.2</w:t>
      </w:r>
    </w:p>
    <w:p w14:paraId="2018CD2A" w14:textId="550AF019" w:rsidR="00C206DF" w:rsidRPr="007F7EE6" w:rsidRDefault="00C206DF" w:rsidP="00C206DF">
      <w:pPr>
        <w:rPr>
          <w:sz w:val="18"/>
          <w:szCs w:val="18"/>
          <w:lang w:val="en-GB"/>
        </w:rPr>
      </w:pPr>
      <w:r w:rsidRPr="00A77AD6">
        <w:rPr>
          <w:b/>
          <w:lang w:val="en-GB"/>
        </w:rPr>
        <w:t>Document for:</w:t>
      </w:r>
      <w:r w:rsidRPr="00A77AD6">
        <w:rPr>
          <w:lang w:val="en-GB"/>
        </w:rPr>
        <w:tab/>
      </w:r>
      <w:r w:rsidR="00002048">
        <w:rPr>
          <w:lang w:val="en-GB"/>
        </w:rPr>
        <w:t>Discussion</w:t>
      </w:r>
    </w:p>
    <w:p w14:paraId="77DC64BA" w14:textId="77777777" w:rsidR="00B81FC7" w:rsidRPr="00E02073" w:rsidRDefault="00B81FC7" w:rsidP="00B81FC7">
      <w:pPr>
        <w:pStyle w:val="Heading1"/>
        <w:rPr>
          <w:rFonts w:cs="Arial"/>
          <w:szCs w:val="28"/>
          <w:lang w:val="en-US"/>
        </w:rPr>
      </w:pPr>
      <w:r w:rsidRPr="00E02073">
        <w:rPr>
          <w:rFonts w:cs="Arial"/>
          <w:szCs w:val="28"/>
          <w:lang w:val="en-US"/>
        </w:rPr>
        <w:t>Introduction</w:t>
      </w:r>
    </w:p>
    <w:p w14:paraId="522F30AC" w14:textId="6B17EEF7" w:rsidR="00002048" w:rsidRDefault="00002048" w:rsidP="00A80346">
      <w:pPr>
        <w:jc w:val="both"/>
      </w:pPr>
      <w:r w:rsidRPr="004F7D0D">
        <w:rPr>
          <w:lang w:val="en-GB"/>
        </w:rPr>
        <w:t xml:space="preserve">Following the </w:t>
      </w:r>
      <w:r>
        <w:rPr>
          <w:lang w:val="en-GB"/>
        </w:rPr>
        <w:t xml:space="preserve">effort </w:t>
      </w:r>
      <w:r w:rsidRPr="004F7D0D">
        <w:rPr>
          <w:lang w:val="en-GB"/>
        </w:rPr>
        <w:t>from previous meetings where Plane Wave Synthesizer (PWS) was included as accepted method in TR 37.941</w:t>
      </w:r>
      <w:r w:rsidR="00016C07">
        <w:rPr>
          <w:lang w:val="en-GB"/>
        </w:rPr>
        <w:t xml:space="preserve"> </w:t>
      </w:r>
      <w:r w:rsidR="00016C07">
        <w:rPr>
          <w:lang w:val="en-GB"/>
        </w:rPr>
        <w:fldChar w:fldCharType="begin"/>
      </w:r>
      <w:r w:rsidR="00016C07">
        <w:rPr>
          <w:lang w:val="en-GB"/>
        </w:rPr>
        <w:instrText xml:space="preserve"> REF _Ref47708830 \r \h </w:instrText>
      </w:r>
      <w:r w:rsidR="00016C07">
        <w:rPr>
          <w:lang w:val="en-GB"/>
        </w:rPr>
      </w:r>
      <w:r w:rsidR="00016C07">
        <w:rPr>
          <w:lang w:val="en-GB"/>
        </w:rPr>
        <w:fldChar w:fldCharType="separate"/>
      </w:r>
      <w:r w:rsidR="00705836">
        <w:rPr>
          <w:lang w:val="en-GB"/>
        </w:rPr>
        <w:t>[1]</w:t>
      </w:r>
      <w:r w:rsidR="00016C07">
        <w:rPr>
          <w:lang w:val="en-GB"/>
        </w:rPr>
        <w:fldChar w:fldCharType="end"/>
      </w:r>
      <w:r w:rsidRPr="004F7D0D">
        <w:rPr>
          <w:lang w:val="en-GB"/>
        </w:rPr>
        <w:t xml:space="preserve"> and the MU assessment was introduced together with remaining methods, this contribution presents an analysis of the MU term</w:t>
      </w:r>
      <w:r w:rsidR="00016C07">
        <w:rPr>
          <w:lang w:val="en-GB"/>
        </w:rPr>
        <w:t>s</w:t>
      </w:r>
      <w:r w:rsidRPr="004F7D0D">
        <w:rPr>
          <w:lang w:val="en-GB"/>
        </w:rPr>
        <w:t xml:space="preserve"> that w</w:t>
      </w:r>
      <w:r w:rsidR="00016C07">
        <w:rPr>
          <w:lang w:val="en-GB"/>
        </w:rPr>
        <w:t>ere</w:t>
      </w:r>
      <w:r w:rsidRPr="004F7D0D">
        <w:rPr>
          <w:lang w:val="en-GB"/>
        </w:rPr>
        <w:t xml:space="preserve"> still pending for the frequency range </w:t>
      </w:r>
      <w:r>
        <w:rPr>
          <w:lang w:val="en-GB"/>
        </w:rPr>
        <w:t xml:space="preserve">from </w:t>
      </w:r>
      <w:r w:rsidRPr="004F7D0D">
        <w:rPr>
          <w:lang w:val="en-GB"/>
        </w:rPr>
        <w:t>4.2GHz</w:t>
      </w:r>
      <w:r>
        <w:rPr>
          <w:lang w:val="en-GB"/>
        </w:rPr>
        <w:t xml:space="preserve"> to 6GHz</w:t>
      </w:r>
      <w:r w:rsidRPr="004F7D0D">
        <w:rPr>
          <w:lang w:val="en-GB"/>
        </w:rPr>
        <w:t>.</w:t>
      </w:r>
    </w:p>
    <w:p w14:paraId="74BA6A2E" w14:textId="5F42183A" w:rsidR="00031097" w:rsidRPr="00E02073" w:rsidRDefault="00F22369" w:rsidP="00031097">
      <w:pPr>
        <w:pStyle w:val="Heading1"/>
        <w:rPr>
          <w:rFonts w:cs="Arial"/>
          <w:lang w:val="en-US"/>
        </w:rPr>
      </w:pPr>
      <w:bookmarkStart w:id="1" w:name="OLE_LINK10"/>
      <w:bookmarkStart w:id="2" w:name="OLE_LINK11"/>
      <w:r w:rsidRPr="00E02073">
        <w:rPr>
          <w:rFonts w:cs="Arial"/>
          <w:lang w:val="en-US"/>
        </w:rPr>
        <w:t>MU budgets</w:t>
      </w:r>
    </w:p>
    <w:p w14:paraId="49C9694D" w14:textId="37F21E2A" w:rsidR="004460ED" w:rsidRDefault="00F22369" w:rsidP="004460ED">
      <w:pPr>
        <w:rPr>
          <w:lang w:eastAsia="en-US"/>
        </w:rPr>
      </w:pPr>
      <w:r w:rsidRPr="00E02073">
        <w:rPr>
          <w:lang w:eastAsia="en-US"/>
        </w:rPr>
        <w:t xml:space="preserve">The </w:t>
      </w:r>
      <w:r w:rsidR="00CC320C">
        <w:rPr>
          <w:lang w:eastAsia="en-US"/>
        </w:rPr>
        <w:t xml:space="preserve">following </w:t>
      </w:r>
      <w:r w:rsidR="00C206DF">
        <w:rPr>
          <w:lang w:eastAsia="en-US"/>
        </w:rPr>
        <w:t xml:space="preserve">is </w:t>
      </w:r>
      <w:r w:rsidR="00CC320C">
        <w:rPr>
          <w:lang w:eastAsia="en-US"/>
        </w:rPr>
        <w:t xml:space="preserve">the MU budget table applicable to PWS </w:t>
      </w:r>
      <w:r w:rsidR="00C206DF">
        <w:rPr>
          <w:lang w:eastAsia="en-US"/>
        </w:rPr>
        <w:t xml:space="preserve">for EIRP measurements </w:t>
      </w:r>
      <w:r w:rsidR="00CC320C">
        <w:rPr>
          <w:lang w:eastAsia="en-US"/>
        </w:rPr>
        <w:t>as agreed in</w:t>
      </w:r>
      <w:r w:rsidR="008F1055">
        <w:rPr>
          <w:lang w:eastAsia="en-US"/>
        </w:rPr>
        <w:t xml:space="preserve"> </w:t>
      </w:r>
      <w:r w:rsidR="00016C07">
        <w:rPr>
          <w:lang w:eastAsia="en-US"/>
        </w:rPr>
        <w:fldChar w:fldCharType="begin"/>
      </w:r>
      <w:r w:rsidR="00016C07">
        <w:rPr>
          <w:lang w:eastAsia="en-US"/>
        </w:rPr>
        <w:instrText xml:space="preserve"> REF _Ref47708830 \r \h </w:instrText>
      </w:r>
      <w:r w:rsidR="00016C07">
        <w:rPr>
          <w:lang w:eastAsia="en-US"/>
        </w:rPr>
      </w:r>
      <w:r w:rsidR="00016C07">
        <w:rPr>
          <w:lang w:eastAsia="en-US"/>
        </w:rPr>
        <w:fldChar w:fldCharType="separate"/>
      </w:r>
      <w:r w:rsidR="00705836">
        <w:rPr>
          <w:lang w:eastAsia="en-US"/>
        </w:rPr>
        <w:t>[1]</w:t>
      </w:r>
      <w:r w:rsidR="00016C07">
        <w:rPr>
          <w:lang w:eastAsia="en-US"/>
        </w:rPr>
        <w:fldChar w:fldCharType="end"/>
      </w:r>
      <w:r w:rsidR="00016C07">
        <w:rPr>
          <w:lang w:eastAsia="en-US"/>
        </w:rPr>
        <w:t>,</w:t>
      </w:r>
      <w:r w:rsidR="00CC320C">
        <w:rPr>
          <w:lang w:eastAsia="en-US"/>
        </w:rPr>
        <w:t xml:space="preserve"> where the MU terms that required further analysis </w:t>
      </w:r>
      <w:r w:rsidR="00C206DF">
        <w:rPr>
          <w:lang w:eastAsia="en-US"/>
        </w:rPr>
        <w:t xml:space="preserve">for the frequency range 4.2 to 6GHz </w:t>
      </w:r>
      <w:r w:rsidR="00CC320C">
        <w:rPr>
          <w:lang w:eastAsia="en-US"/>
        </w:rPr>
        <w:t>are highlighted:</w:t>
      </w:r>
    </w:p>
    <w:p w14:paraId="0AA02651" w14:textId="34896E71" w:rsidR="00CC320C" w:rsidRDefault="00CC320C" w:rsidP="004460ED">
      <w:pPr>
        <w:rPr>
          <w:lang w:eastAsia="en-US"/>
        </w:rPr>
      </w:pPr>
      <w:r>
        <w:rPr>
          <w:noProof/>
          <w:lang w:eastAsia="en-US"/>
        </w:rPr>
        <w:lastRenderedPageBreak/>
        <mc:AlternateContent>
          <mc:Choice Requires="wps">
            <w:drawing>
              <wp:inline distT="0" distB="0" distL="0" distR="0" wp14:anchorId="63965172" wp14:editId="06BF9962">
                <wp:extent cx="5960853" cy="1404620"/>
                <wp:effectExtent l="0" t="0" r="2095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853" cy="1404620"/>
                        </a:xfrm>
                        <a:prstGeom prst="rect">
                          <a:avLst/>
                        </a:prstGeom>
                        <a:solidFill>
                          <a:srgbClr val="FFFFFF"/>
                        </a:solidFill>
                        <a:ln w="9525">
                          <a:solidFill>
                            <a:srgbClr val="000000"/>
                          </a:solidFill>
                          <a:miter lim="800000"/>
                          <a:headEnd/>
                          <a:tailEnd/>
                        </a:ln>
                      </wps:spPr>
                      <wps:txbx>
                        <w:txbxContent>
                          <w:p w14:paraId="567D9958" w14:textId="77777777" w:rsidR="008F1055" w:rsidRPr="008F1055" w:rsidRDefault="008F1055" w:rsidP="008F1055">
                            <w:pPr>
                              <w:keepNext/>
                              <w:keepLines/>
                              <w:spacing w:before="120" w:after="180" w:line="240" w:lineRule="auto"/>
                              <w:outlineLvl w:val="3"/>
                              <w:rPr>
                                <w:rFonts w:eastAsia="DengXian" w:cs="Times New Roman"/>
                                <w:szCs w:val="20"/>
                                <w:lang w:val="en-GB" w:eastAsia="en-US"/>
                              </w:rPr>
                            </w:pPr>
                            <w:bookmarkStart w:id="3" w:name="_Toc21086253"/>
                            <w:bookmarkStart w:id="4" w:name="_Toc29768690"/>
                            <w:bookmarkStart w:id="5" w:name="_Toc32332070"/>
                            <w:bookmarkStart w:id="6" w:name="_Toc37429985"/>
                            <w:bookmarkStart w:id="7" w:name="_Toc43739059"/>
                            <w:bookmarkStart w:id="8" w:name="_Toc46346820"/>
                            <w:bookmarkStart w:id="9" w:name="_Toc53168527"/>
                            <w:bookmarkStart w:id="10" w:name="_Toc53169219"/>
                            <w:bookmarkStart w:id="11" w:name="_Toc53169911"/>
                            <w:bookmarkStart w:id="12" w:name="_Toc13066146"/>
                            <w:r w:rsidRPr="008F1055">
                              <w:rPr>
                                <w:rFonts w:eastAsia="DengXian" w:cs="Times New Roman"/>
                                <w:szCs w:val="20"/>
                                <w:lang w:val="en-GB" w:eastAsia="en-US"/>
                              </w:rPr>
                              <w:t>9.2.6.3</w:t>
                            </w:r>
                            <w:r w:rsidRPr="008F1055">
                              <w:rPr>
                                <w:rFonts w:eastAsia="DengXian" w:cs="Times New Roman"/>
                                <w:szCs w:val="20"/>
                                <w:lang w:val="en-GB" w:eastAsia="en-US"/>
                              </w:rPr>
                              <w:tab/>
                              <w:t>MU value</w:t>
                            </w:r>
                            <w:bookmarkEnd w:id="3"/>
                            <w:bookmarkEnd w:id="4"/>
                            <w:r w:rsidRPr="008F1055">
                              <w:rPr>
                                <w:rFonts w:eastAsia="DengXian" w:cs="Times New Roman"/>
                                <w:szCs w:val="20"/>
                                <w:lang w:val="en-GB" w:eastAsia="en-US"/>
                              </w:rPr>
                              <w:t xml:space="preserve"> derivation, FR1</w:t>
                            </w:r>
                            <w:bookmarkEnd w:id="5"/>
                            <w:bookmarkEnd w:id="6"/>
                            <w:bookmarkEnd w:id="7"/>
                            <w:bookmarkEnd w:id="8"/>
                            <w:bookmarkEnd w:id="9"/>
                            <w:bookmarkEnd w:id="10"/>
                            <w:bookmarkEnd w:id="11"/>
                          </w:p>
                          <w:p w14:paraId="2B70A315" w14:textId="77777777" w:rsidR="008F1055" w:rsidRPr="008F1055" w:rsidRDefault="008F1055" w:rsidP="008F1055">
                            <w:pPr>
                              <w:spacing w:after="180" w:line="240" w:lineRule="auto"/>
                              <w:rPr>
                                <w:rFonts w:ascii="Times New Roman" w:eastAsia="DengXian" w:hAnsi="Times New Roman" w:cs="Times New Roman"/>
                                <w:sz w:val="18"/>
                                <w:szCs w:val="20"/>
                                <w:lang w:val="en-GB" w:eastAsia="en-US"/>
                              </w:rPr>
                            </w:pPr>
                            <w:r w:rsidRPr="008F1055">
                              <w:rPr>
                                <w:rFonts w:ascii="Times New Roman" w:eastAsia="DengXian" w:hAnsi="Times New Roman" w:cs="Times New Roman"/>
                                <w:sz w:val="18"/>
                                <w:szCs w:val="20"/>
                                <w:lang w:val="en-GB" w:eastAsia="sv-SE"/>
                              </w:rPr>
                              <w:t xml:space="preserve">Table </w:t>
                            </w:r>
                            <w:r w:rsidRPr="008F1055">
                              <w:rPr>
                                <w:rFonts w:ascii="Times New Roman" w:eastAsia="DengXian" w:hAnsi="Times New Roman" w:cs="Times New Roman"/>
                                <w:sz w:val="18"/>
                                <w:szCs w:val="20"/>
                                <w:lang w:val="en-GB" w:eastAsia="en-US"/>
                              </w:rPr>
                              <w:t xml:space="preserve">9.2.6.3-1 captures the uncertainty budget contributors and table 9.2.6.3-2 captures the derivation of the expanded measurement uncertainty values for EIRP accuracy measurements in </w:t>
                            </w:r>
                            <w:r w:rsidRPr="008F1055">
                              <w:rPr>
                                <w:rFonts w:ascii="Times New Roman" w:eastAsia="DengXian" w:hAnsi="Times New Roman" w:cs="Times New Roman"/>
                                <w:sz w:val="18"/>
                                <w:szCs w:val="20"/>
                                <w:lang w:eastAsia="en-US"/>
                              </w:rPr>
                              <w:t>PWS</w:t>
                            </w:r>
                            <w:r w:rsidRPr="008F1055">
                              <w:rPr>
                                <w:rFonts w:ascii="Times New Roman" w:eastAsia="DengXian" w:hAnsi="Times New Roman" w:cs="Times New Roman"/>
                                <w:sz w:val="18"/>
                                <w:szCs w:val="20"/>
                                <w:lang w:val="en-GB" w:eastAsia="en-US"/>
                              </w:rPr>
                              <w:t>.</w:t>
                            </w:r>
                          </w:p>
                          <w:p w14:paraId="1B2D1581" w14:textId="77777777" w:rsidR="008F1055" w:rsidRPr="008F1055" w:rsidRDefault="008F1055" w:rsidP="008F1055">
                            <w:pPr>
                              <w:keepNext/>
                              <w:keepLines/>
                              <w:spacing w:before="60" w:after="180" w:line="240" w:lineRule="auto"/>
                              <w:jc w:val="center"/>
                              <w:rPr>
                                <w:rFonts w:eastAsia="DengXian" w:cs="Times New Roman"/>
                                <w:b/>
                                <w:sz w:val="18"/>
                                <w:szCs w:val="20"/>
                                <w:lang w:val="en-GB" w:eastAsia="en-US"/>
                              </w:rPr>
                            </w:pPr>
                            <w:r w:rsidRPr="008F1055">
                              <w:rPr>
                                <w:rFonts w:eastAsia="DengXian" w:cs="Times New Roman"/>
                                <w:b/>
                                <w:sz w:val="18"/>
                                <w:szCs w:val="20"/>
                                <w:lang w:val="en-GB" w:eastAsia="en-US"/>
                              </w:rPr>
                              <w:t xml:space="preserve">Table 9.2.6.3-1: PWS </w:t>
                            </w:r>
                            <w:r w:rsidRPr="008F1055">
                              <w:rPr>
                                <w:rFonts w:eastAsia="DengXian" w:cs="Times New Roman"/>
                                <w:b/>
                                <w:sz w:val="18"/>
                                <w:szCs w:val="20"/>
                                <w:lang w:val="en-GB" w:eastAsia="sv-SE"/>
                              </w:rPr>
                              <w:t>measurement</w:t>
                            </w:r>
                            <w:r w:rsidRPr="008F1055">
                              <w:rPr>
                                <w:rFonts w:eastAsia="DengXian" w:cs="Times New Roman"/>
                                <w:b/>
                                <w:sz w:val="18"/>
                                <w:szCs w:val="20"/>
                                <w:lang w:val="en-GB" w:eastAsia="en-US"/>
                              </w:rPr>
                              <w:t xml:space="preserve"> accuracy contributors</w:t>
                            </w:r>
                            <w:r w:rsidRPr="008F1055">
                              <w:rPr>
                                <w:rFonts w:eastAsia="DengXian" w:cs="Times New Roman"/>
                                <w:b/>
                                <w:sz w:val="18"/>
                                <w:szCs w:val="20"/>
                                <w:lang w:val="en-GB" w:eastAsia="sv-SE"/>
                              </w:rPr>
                              <w:t xml:space="preserve"> for</w:t>
                            </w:r>
                            <w:r w:rsidRPr="008F1055">
                              <w:rPr>
                                <w:rFonts w:eastAsia="DengXian" w:cs="Times New Roman"/>
                                <w:b/>
                                <w:sz w:val="18"/>
                                <w:szCs w:val="20"/>
                                <w:lang w:val="en-GB" w:eastAsia="en-US"/>
                              </w:rPr>
                              <w:t xml:space="preserve"> EIRP </w:t>
                            </w:r>
                            <w:r w:rsidRPr="008F1055">
                              <w:rPr>
                                <w:rFonts w:eastAsia="DengXian" w:cs="Times New Roman"/>
                                <w:b/>
                                <w:sz w:val="18"/>
                                <w:szCs w:val="20"/>
                                <w:lang w:val="en-GB" w:eastAsia="sv-SE"/>
                              </w:rPr>
                              <w:t xml:space="preserve">accuracy </w:t>
                            </w:r>
                            <w:r w:rsidRPr="008F1055">
                              <w:rPr>
                                <w:rFonts w:eastAsia="DengXian" w:cs="Times New Roman"/>
                                <w:b/>
                                <w:sz w:val="18"/>
                                <w:szCs w:val="20"/>
                                <w:lang w:val="en-GB" w:eastAsia="en-US"/>
                              </w:rPr>
                              <w:t>measurements, FR1</w:t>
                            </w:r>
                          </w:p>
                          <w:tbl>
                            <w:tblPr>
                              <w:tblW w:w="0" w:type="auto"/>
                              <w:jc w:val="center"/>
                              <w:tblLook w:val="04A0" w:firstRow="1" w:lastRow="0" w:firstColumn="1" w:lastColumn="0" w:noHBand="0" w:noVBand="1"/>
                            </w:tblPr>
                            <w:tblGrid>
                              <w:gridCol w:w="1640"/>
                              <w:gridCol w:w="6699"/>
                            </w:tblGrid>
                            <w:tr w:rsidR="008F1055" w:rsidRPr="008F1055" w14:paraId="0A5B32BB" w14:textId="77777777" w:rsidTr="008F1055">
                              <w:trPr>
                                <w:trHeight w:val="28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9EA42C"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0CE934"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Uncertainty source</w:t>
                                  </w:r>
                                </w:p>
                              </w:tc>
                            </w:tr>
                            <w:tr w:rsidR="008F1055" w:rsidRPr="008F1055" w14:paraId="480490EC" w14:textId="77777777" w:rsidTr="008F1055">
                              <w:trPr>
                                <w:trHeight w:val="186"/>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7B5E44F"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Stage 2: BS measurement</w:t>
                                  </w:r>
                                </w:p>
                              </w:tc>
                            </w:tr>
                            <w:tr w:rsidR="008F1055" w:rsidRPr="008F1055" w14:paraId="20FECD68"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38766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A7-1a</w:t>
                                  </w:r>
                                </w:p>
                              </w:tc>
                              <w:tc>
                                <w:tcPr>
                                  <w:tcW w:w="0" w:type="auto"/>
                                  <w:tcBorders>
                                    <w:top w:val="nil"/>
                                    <w:left w:val="nil"/>
                                    <w:bottom w:val="single" w:sz="4" w:space="0" w:color="auto"/>
                                    <w:right w:val="single" w:sz="4" w:space="0" w:color="auto"/>
                                  </w:tcBorders>
                                  <w:shd w:val="clear" w:color="auto" w:fill="auto"/>
                                  <w:vAlign w:val="center"/>
                                  <w:hideMark/>
                                </w:tcPr>
                                <w:p w14:paraId="7B23A1B0"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Misalignment BS &amp; pointing error</w:t>
                                  </w:r>
                                </w:p>
                              </w:tc>
                            </w:tr>
                            <w:tr w:rsidR="008F1055" w:rsidRPr="008F1055" w14:paraId="46444C9D"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1ADAFB"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C1-1</w:t>
                                  </w:r>
                                </w:p>
                              </w:tc>
                              <w:tc>
                                <w:tcPr>
                                  <w:tcW w:w="0" w:type="auto"/>
                                  <w:tcBorders>
                                    <w:top w:val="nil"/>
                                    <w:left w:val="nil"/>
                                    <w:bottom w:val="single" w:sz="4" w:space="0" w:color="auto"/>
                                    <w:right w:val="single" w:sz="4" w:space="0" w:color="auto"/>
                                  </w:tcBorders>
                                  <w:shd w:val="clear" w:color="auto" w:fill="auto"/>
                                  <w:vAlign w:val="center"/>
                                  <w:hideMark/>
                                </w:tcPr>
                                <w:p w14:paraId="234FC4F9"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RF power measurement equipment (e.g. spectrum analyzer, power meter)</w:t>
                                  </w:r>
                                </w:p>
                              </w:tc>
                            </w:tr>
                            <w:tr w:rsidR="008F1055" w:rsidRPr="008F1055" w14:paraId="5D78833B"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BF9CD" w14:textId="77777777" w:rsidR="008F1055" w:rsidRPr="008F1055" w:rsidRDefault="008F1055" w:rsidP="008F1055">
                                  <w:pPr>
                                    <w:spacing w:after="0" w:line="240" w:lineRule="auto"/>
                                    <w:jc w:val="center"/>
                                    <w:rPr>
                                      <w:rFonts w:eastAsia="SimSun"/>
                                      <w:color w:val="000000"/>
                                      <w:sz w:val="14"/>
                                      <w:szCs w:val="16"/>
                                      <w:highlight w:val="yellow"/>
                                    </w:rPr>
                                  </w:pPr>
                                  <w:bookmarkStart w:id="13" w:name="RANGE!S158"/>
                                  <w:r w:rsidRPr="008F1055">
                                    <w:rPr>
                                      <w:rFonts w:eastAsia="SimSun"/>
                                      <w:color w:val="000000"/>
                                      <w:sz w:val="14"/>
                                      <w:szCs w:val="16"/>
                                      <w:highlight w:val="yellow"/>
                                    </w:rPr>
                                    <w:t>A7-2a</w:t>
                                  </w:r>
                                  <w:bookmarkEnd w:id="13"/>
                                </w:p>
                              </w:tc>
                              <w:tc>
                                <w:tcPr>
                                  <w:tcW w:w="0" w:type="auto"/>
                                  <w:tcBorders>
                                    <w:top w:val="nil"/>
                                    <w:left w:val="nil"/>
                                    <w:bottom w:val="single" w:sz="4" w:space="0" w:color="auto"/>
                                    <w:right w:val="single" w:sz="4" w:space="0" w:color="auto"/>
                                  </w:tcBorders>
                                  <w:shd w:val="clear" w:color="auto" w:fill="auto"/>
                                  <w:vAlign w:val="center"/>
                                  <w:hideMark/>
                                </w:tcPr>
                                <w:p w14:paraId="28EB145A"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Longitudinal position uncertainty (i.e. standing wave and imperfect field synthesis) for BS antenna</w:t>
                                  </w:r>
                                </w:p>
                              </w:tc>
                            </w:tr>
                            <w:tr w:rsidR="008F1055" w:rsidRPr="008F1055" w14:paraId="2B78D95E"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4F53A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45496372"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RF leakage (calibration antenna connector terminated)</w:t>
                                  </w:r>
                                </w:p>
                              </w:tc>
                            </w:tr>
                            <w:tr w:rsidR="008F1055" w:rsidRPr="008F1055" w14:paraId="3FB99FF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7B387"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A7-4a</w:t>
                                  </w:r>
                                </w:p>
                              </w:tc>
                              <w:tc>
                                <w:tcPr>
                                  <w:tcW w:w="0" w:type="auto"/>
                                  <w:tcBorders>
                                    <w:top w:val="nil"/>
                                    <w:left w:val="nil"/>
                                    <w:bottom w:val="single" w:sz="4" w:space="0" w:color="auto"/>
                                    <w:right w:val="single" w:sz="4" w:space="0" w:color="auto"/>
                                  </w:tcBorders>
                                  <w:shd w:val="clear" w:color="auto" w:fill="auto"/>
                                  <w:vAlign w:val="center"/>
                                  <w:hideMark/>
                                </w:tcPr>
                                <w:p w14:paraId="31EF2DB7"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QZ ripple with BS</w:t>
                                  </w:r>
                                </w:p>
                              </w:tc>
                            </w:tr>
                            <w:tr w:rsidR="008F1055" w:rsidRPr="008F1055" w14:paraId="5F8A3A06"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3BBD4C"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A7-5</w:t>
                                  </w:r>
                                </w:p>
                              </w:tc>
                              <w:tc>
                                <w:tcPr>
                                  <w:tcW w:w="0" w:type="auto"/>
                                  <w:tcBorders>
                                    <w:top w:val="nil"/>
                                    <w:left w:val="nil"/>
                                    <w:bottom w:val="single" w:sz="4" w:space="0" w:color="auto"/>
                                    <w:right w:val="single" w:sz="4" w:space="0" w:color="auto"/>
                                  </w:tcBorders>
                                  <w:shd w:val="clear" w:color="auto" w:fill="auto"/>
                                  <w:vAlign w:val="center"/>
                                  <w:hideMark/>
                                </w:tcPr>
                                <w:p w14:paraId="41D9E746"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Miscellaneous Uncertainty</w:t>
                                  </w:r>
                                </w:p>
                              </w:tc>
                            </w:tr>
                            <w:tr w:rsidR="008F1055" w:rsidRPr="008F1055" w14:paraId="27BAF8A5" w14:textId="77777777" w:rsidTr="008F1055">
                              <w:trPr>
                                <w:trHeight w:val="1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E0F0F7"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A7-14</w:t>
                                  </w:r>
                                </w:p>
                              </w:tc>
                              <w:tc>
                                <w:tcPr>
                                  <w:tcW w:w="0" w:type="auto"/>
                                  <w:tcBorders>
                                    <w:top w:val="nil"/>
                                    <w:left w:val="nil"/>
                                    <w:bottom w:val="single" w:sz="4" w:space="0" w:color="auto"/>
                                    <w:right w:val="single" w:sz="4" w:space="0" w:color="auto"/>
                                  </w:tcBorders>
                                  <w:shd w:val="clear" w:color="auto" w:fill="auto"/>
                                  <w:vAlign w:val="center"/>
                                  <w:hideMark/>
                                </w:tcPr>
                                <w:p w14:paraId="54890613"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System non-linearity</w:t>
                                  </w:r>
                                </w:p>
                              </w:tc>
                            </w:tr>
                            <w:tr w:rsidR="008F1055" w:rsidRPr="008F1055" w14:paraId="5D19FFFE"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E1A171"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A7-13</w:t>
                                  </w:r>
                                </w:p>
                              </w:tc>
                              <w:tc>
                                <w:tcPr>
                                  <w:tcW w:w="0" w:type="auto"/>
                                  <w:tcBorders>
                                    <w:top w:val="nil"/>
                                    <w:left w:val="nil"/>
                                    <w:bottom w:val="single" w:sz="4" w:space="0" w:color="auto"/>
                                    <w:right w:val="single" w:sz="4" w:space="0" w:color="auto"/>
                                  </w:tcBorders>
                                  <w:shd w:val="clear" w:color="auto" w:fill="auto"/>
                                  <w:vAlign w:val="center"/>
                                  <w:hideMark/>
                                </w:tcPr>
                                <w:p w14:paraId="4CFB3B2D"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Frequency Flatness</w:t>
                                  </w:r>
                                </w:p>
                              </w:tc>
                            </w:tr>
                            <w:tr w:rsidR="008F1055" w:rsidRPr="008F1055" w14:paraId="18FAEC0F" w14:textId="77777777" w:rsidTr="008F1055">
                              <w:trPr>
                                <w:trHeight w:val="177"/>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97E9A86"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Stage 1: Calibration measurement</w:t>
                                  </w:r>
                                </w:p>
                              </w:tc>
                            </w:tr>
                            <w:tr w:rsidR="008F1055" w:rsidRPr="008F1055" w14:paraId="1802C580" w14:textId="77777777" w:rsidTr="008F1055">
                              <w:trPr>
                                <w:trHeight w:val="16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3ECC12"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C1-3</w:t>
                                  </w:r>
                                </w:p>
                              </w:tc>
                              <w:tc>
                                <w:tcPr>
                                  <w:tcW w:w="0" w:type="auto"/>
                                  <w:tcBorders>
                                    <w:top w:val="nil"/>
                                    <w:left w:val="nil"/>
                                    <w:bottom w:val="single" w:sz="4" w:space="0" w:color="auto"/>
                                    <w:right w:val="single" w:sz="4" w:space="0" w:color="auto"/>
                                  </w:tcBorders>
                                  <w:shd w:val="clear" w:color="auto" w:fill="auto"/>
                                  <w:vAlign w:val="center"/>
                                  <w:hideMark/>
                                </w:tcPr>
                                <w:p w14:paraId="1D27B977"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Uncertainty of the network analyzer</w:t>
                                  </w:r>
                                </w:p>
                              </w:tc>
                            </w:tr>
                            <w:tr w:rsidR="008F1055" w:rsidRPr="008F1055" w14:paraId="219FED3A"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5F8CFA"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A7-6</w:t>
                                  </w:r>
                                </w:p>
                              </w:tc>
                              <w:tc>
                                <w:tcPr>
                                  <w:tcW w:w="0" w:type="auto"/>
                                  <w:tcBorders>
                                    <w:top w:val="nil"/>
                                    <w:left w:val="nil"/>
                                    <w:bottom w:val="single" w:sz="4" w:space="0" w:color="auto"/>
                                    <w:right w:val="single" w:sz="4" w:space="0" w:color="auto"/>
                                  </w:tcBorders>
                                  <w:shd w:val="clear" w:color="auto" w:fill="auto"/>
                                  <w:vAlign w:val="center"/>
                                  <w:hideMark/>
                                </w:tcPr>
                                <w:p w14:paraId="15B0259E"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Mismatch (i.e. reference antenna, network analyser and reference cable)</w:t>
                                  </w:r>
                                </w:p>
                              </w:tc>
                            </w:tr>
                            <w:tr w:rsidR="008F1055" w:rsidRPr="008F1055" w14:paraId="09B1AEFD"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5C80D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A7-7</w:t>
                                  </w:r>
                                </w:p>
                              </w:tc>
                              <w:tc>
                                <w:tcPr>
                                  <w:tcW w:w="0" w:type="auto"/>
                                  <w:tcBorders>
                                    <w:top w:val="nil"/>
                                    <w:left w:val="nil"/>
                                    <w:bottom w:val="single" w:sz="4" w:space="0" w:color="auto"/>
                                    <w:right w:val="single" w:sz="4" w:space="0" w:color="auto"/>
                                  </w:tcBorders>
                                  <w:shd w:val="clear" w:color="auto" w:fill="auto"/>
                                  <w:vAlign w:val="center"/>
                                  <w:hideMark/>
                                </w:tcPr>
                                <w:p w14:paraId="6AC7AFD7"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 xml:space="preserve">Insertion loss variation </w:t>
                                  </w:r>
                                </w:p>
                              </w:tc>
                            </w:tr>
                            <w:tr w:rsidR="008F1055" w:rsidRPr="008F1055" w14:paraId="4330E964"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2D856"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1C82061B"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RF leakage (calibration antenna connector terminated)</w:t>
                                  </w:r>
                                </w:p>
                              </w:tc>
                            </w:tr>
                            <w:tr w:rsidR="008F1055" w:rsidRPr="008F1055" w14:paraId="5264A9C3"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766D6B"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A7-8</w:t>
                                  </w:r>
                                </w:p>
                              </w:tc>
                              <w:tc>
                                <w:tcPr>
                                  <w:tcW w:w="0" w:type="auto"/>
                                  <w:tcBorders>
                                    <w:top w:val="nil"/>
                                    <w:left w:val="nil"/>
                                    <w:bottom w:val="single" w:sz="4" w:space="0" w:color="auto"/>
                                    <w:right w:val="single" w:sz="4" w:space="0" w:color="auto"/>
                                  </w:tcBorders>
                                  <w:shd w:val="clear" w:color="auto" w:fill="auto"/>
                                  <w:vAlign w:val="center"/>
                                  <w:hideMark/>
                                </w:tcPr>
                                <w:p w14:paraId="485079FD"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Influence of the calibration antenna feed cable</w:t>
                                  </w:r>
                                </w:p>
                              </w:tc>
                            </w:tr>
                            <w:tr w:rsidR="008F1055" w:rsidRPr="008F1055" w14:paraId="551C2ED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1894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C1-4</w:t>
                                  </w:r>
                                </w:p>
                              </w:tc>
                              <w:tc>
                                <w:tcPr>
                                  <w:tcW w:w="0" w:type="auto"/>
                                  <w:tcBorders>
                                    <w:top w:val="nil"/>
                                    <w:left w:val="nil"/>
                                    <w:bottom w:val="single" w:sz="4" w:space="0" w:color="auto"/>
                                    <w:right w:val="single" w:sz="4" w:space="0" w:color="auto"/>
                                  </w:tcBorders>
                                  <w:shd w:val="clear" w:color="auto" w:fill="auto"/>
                                  <w:vAlign w:val="center"/>
                                  <w:hideMark/>
                                </w:tcPr>
                                <w:p w14:paraId="538CA17E"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Uncertainty of the absolute gain of the reference antenna</w:t>
                                  </w:r>
                                </w:p>
                              </w:tc>
                            </w:tr>
                            <w:tr w:rsidR="008F1055" w:rsidRPr="008F1055" w14:paraId="649B444E"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F0185"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A7-9</w:t>
                                  </w:r>
                                </w:p>
                              </w:tc>
                              <w:tc>
                                <w:tcPr>
                                  <w:tcW w:w="0" w:type="auto"/>
                                  <w:tcBorders>
                                    <w:top w:val="nil"/>
                                    <w:left w:val="nil"/>
                                    <w:bottom w:val="single" w:sz="4" w:space="0" w:color="auto"/>
                                    <w:right w:val="single" w:sz="4" w:space="0" w:color="auto"/>
                                  </w:tcBorders>
                                  <w:shd w:val="clear" w:color="auto" w:fill="auto"/>
                                  <w:vAlign w:val="center"/>
                                  <w:hideMark/>
                                </w:tcPr>
                                <w:p w14:paraId="4D2A235B"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Misalignment of positioning system</w:t>
                                  </w:r>
                                </w:p>
                              </w:tc>
                            </w:tr>
                            <w:tr w:rsidR="008F1055" w:rsidRPr="008F1055" w14:paraId="6E9B8B7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853E8"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A7-1b</w:t>
                                  </w:r>
                                </w:p>
                              </w:tc>
                              <w:tc>
                                <w:tcPr>
                                  <w:tcW w:w="0" w:type="auto"/>
                                  <w:tcBorders>
                                    <w:top w:val="nil"/>
                                    <w:left w:val="nil"/>
                                    <w:bottom w:val="single" w:sz="4" w:space="0" w:color="auto"/>
                                    <w:right w:val="single" w:sz="4" w:space="0" w:color="auto"/>
                                  </w:tcBorders>
                                  <w:shd w:val="clear" w:color="auto" w:fill="auto"/>
                                  <w:vAlign w:val="center"/>
                                  <w:hideMark/>
                                </w:tcPr>
                                <w:p w14:paraId="75D7B083"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Misalignment of calibration antenna &amp; pointing error</w:t>
                                  </w:r>
                                </w:p>
                              </w:tc>
                            </w:tr>
                            <w:tr w:rsidR="008F1055" w:rsidRPr="008F1055" w14:paraId="10ADA54C"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43755B"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A7-10</w:t>
                                  </w:r>
                                </w:p>
                              </w:tc>
                              <w:tc>
                                <w:tcPr>
                                  <w:tcW w:w="0" w:type="auto"/>
                                  <w:tcBorders>
                                    <w:top w:val="nil"/>
                                    <w:left w:val="nil"/>
                                    <w:bottom w:val="single" w:sz="4" w:space="0" w:color="auto"/>
                                    <w:right w:val="single" w:sz="4" w:space="0" w:color="auto"/>
                                  </w:tcBorders>
                                  <w:shd w:val="clear" w:color="auto" w:fill="auto"/>
                                  <w:vAlign w:val="center"/>
                                  <w:hideMark/>
                                </w:tcPr>
                                <w:p w14:paraId="16FA0565"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Rotary joints</w:t>
                                  </w:r>
                                </w:p>
                              </w:tc>
                            </w:tr>
                            <w:tr w:rsidR="008F1055" w:rsidRPr="008F1055" w14:paraId="4E28425F" w14:textId="77777777" w:rsidTr="008F1055">
                              <w:trPr>
                                <w:trHeight w:val="28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B1186"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A7-2b</w:t>
                                  </w:r>
                                </w:p>
                              </w:tc>
                              <w:tc>
                                <w:tcPr>
                                  <w:tcW w:w="0" w:type="auto"/>
                                  <w:tcBorders>
                                    <w:top w:val="nil"/>
                                    <w:left w:val="nil"/>
                                    <w:bottom w:val="single" w:sz="4" w:space="0" w:color="auto"/>
                                    <w:right w:val="single" w:sz="4" w:space="0" w:color="auto"/>
                                  </w:tcBorders>
                                  <w:shd w:val="clear" w:color="auto" w:fill="auto"/>
                                  <w:vAlign w:val="center"/>
                                  <w:hideMark/>
                                </w:tcPr>
                                <w:p w14:paraId="6DCC355E"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Longitudinal position uncertainty (i.e. standing wave and imperfect field synthesis) for calibration antenna</w:t>
                                  </w:r>
                                </w:p>
                              </w:tc>
                            </w:tr>
                            <w:tr w:rsidR="008F1055" w:rsidRPr="008F1055" w14:paraId="6B31F19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70DA6"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A7-4b</w:t>
                                  </w:r>
                                </w:p>
                              </w:tc>
                              <w:tc>
                                <w:tcPr>
                                  <w:tcW w:w="0" w:type="auto"/>
                                  <w:tcBorders>
                                    <w:top w:val="nil"/>
                                    <w:left w:val="nil"/>
                                    <w:bottom w:val="single" w:sz="4" w:space="0" w:color="auto"/>
                                    <w:right w:val="single" w:sz="4" w:space="0" w:color="auto"/>
                                  </w:tcBorders>
                                  <w:shd w:val="clear" w:color="auto" w:fill="auto"/>
                                  <w:vAlign w:val="center"/>
                                  <w:hideMark/>
                                </w:tcPr>
                                <w:p w14:paraId="4D23A306"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QZ ripple with calibration antenna</w:t>
                                  </w:r>
                                </w:p>
                              </w:tc>
                            </w:tr>
                            <w:tr w:rsidR="008F1055" w:rsidRPr="008F1055" w14:paraId="5ED127EA"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F55CC"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A7-11</w:t>
                                  </w:r>
                                </w:p>
                              </w:tc>
                              <w:tc>
                                <w:tcPr>
                                  <w:tcW w:w="0" w:type="auto"/>
                                  <w:tcBorders>
                                    <w:top w:val="nil"/>
                                    <w:left w:val="nil"/>
                                    <w:bottom w:val="single" w:sz="4" w:space="0" w:color="auto"/>
                                    <w:right w:val="single" w:sz="4" w:space="0" w:color="auto"/>
                                  </w:tcBorders>
                                  <w:shd w:val="clear" w:color="auto" w:fill="auto"/>
                                  <w:vAlign w:val="center"/>
                                  <w:hideMark/>
                                </w:tcPr>
                                <w:p w14:paraId="455B68D2"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Switching uncertainty</w:t>
                                  </w:r>
                                </w:p>
                              </w:tc>
                            </w:tr>
                            <w:tr w:rsidR="008F1055" w:rsidRPr="008F1055" w14:paraId="00B92B8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F51DDE"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A7-12</w:t>
                                  </w:r>
                                </w:p>
                              </w:tc>
                              <w:tc>
                                <w:tcPr>
                                  <w:tcW w:w="0" w:type="auto"/>
                                  <w:tcBorders>
                                    <w:top w:val="nil"/>
                                    <w:left w:val="nil"/>
                                    <w:bottom w:val="single" w:sz="4" w:space="0" w:color="auto"/>
                                    <w:right w:val="single" w:sz="4" w:space="0" w:color="auto"/>
                                  </w:tcBorders>
                                  <w:shd w:val="clear" w:color="auto" w:fill="auto"/>
                                  <w:vAlign w:val="center"/>
                                  <w:hideMark/>
                                </w:tcPr>
                                <w:p w14:paraId="0E8789AB"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Field repeatability</w:t>
                                  </w:r>
                                </w:p>
                              </w:tc>
                            </w:tr>
                            <w:bookmarkEnd w:id="12"/>
                          </w:tbl>
                          <w:p w14:paraId="71E07D3F" w14:textId="5EAB3AAF" w:rsidR="005D0416" w:rsidRPr="008F1055" w:rsidRDefault="005D0416" w:rsidP="001269B5">
                            <w:pPr>
                              <w:rPr>
                                <w:sz w:val="20"/>
                              </w:rPr>
                            </w:pPr>
                          </w:p>
                        </w:txbxContent>
                      </wps:txbx>
                      <wps:bodyPr rot="0" vert="horz" wrap="square" lIns="91440" tIns="45720" rIns="91440" bIns="45720" anchor="t" anchorCtr="0">
                        <a:spAutoFit/>
                      </wps:bodyPr>
                    </wps:wsp>
                  </a:graphicData>
                </a:graphic>
              </wp:inline>
            </w:drawing>
          </mc:Choice>
          <mc:Fallback>
            <w:pict>
              <v:shapetype w14:anchorId="63965172" id="_x0000_t202" coordsize="21600,21600" o:spt="202" path="m,l,21600r21600,l21600,xe">
                <v:stroke joinstyle="miter"/>
                <v:path gradientshapeok="t" o:connecttype="rect"/>
              </v:shapetype>
              <v:shape id="Text Box 2" o:spid="_x0000_s1026" type="#_x0000_t202" style="width:46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Na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">
                <v:textbox style="mso-fit-shape-to-text:t">
                  <w:txbxContent>
                    <w:p w14:paraId="567D9958" w14:textId="77777777" w:rsidR="008F1055" w:rsidRPr="008F1055" w:rsidRDefault="008F1055" w:rsidP="008F1055">
                      <w:pPr>
                        <w:keepNext/>
                        <w:keepLines/>
                        <w:spacing w:before="120" w:after="180" w:line="240" w:lineRule="auto"/>
                        <w:outlineLvl w:val="3"/>
                        <w:rPr>
                          <w:rFonts w:eastAsia="DengXian" w:cs="Times New Roman"/>
                          <w:szCs w:val="20"/>
                          <w:lang w:val="en-GB" w:eastAsia="en-US"/>
                        </w:rPr>
                      </w:pPr>
                      <w:bookmarkStart w:id="14" w:name="_Toc21086253"/>
                      <w:bookmarkStart w:id="15" w:name="_Toc29768690"/>
                      <w:bookmarkStart w:id="16" w:name="_Toc32332070"/>
                      <w:bookmarkStart w:id="17" w:name="_Toc37429985"/>
                      <w:bookmarkStart w:id="18" w:name="_Toc43739059"/>
                      <w:bookmarkStart w:id="19" w:name="_Toc46346820"/>
                      <w:bookmarkStart w:id="20" w:name="_Toc53168527"/>
                      <w:bookmarkStart w:id="21" w:name="_Toc53169219"/>
                      <w:bookmarkStart w:id="22" w:name="_Toc53169911"/>
                      <w:bookmarkStart w:id="23" w:name="_Toc13066146"/>
                      <w:r w:rsidRPr="008F1055">
                        <w:rPr>
                          <w:rFonts w:eastAsia="DengXian" w:cs="Times New Roman"/>
                          <w:szCs w:val="20"/>
                          <w:lang w:val="en-GB" w:eastAsia="en-US"/>
                        </w:rPr>
                        <w:t>9.2.6.3</w:t>
                      </w:r>
                      <w:r w:rsidRPr="008F1055">
                        <w:rPr>
                          <w:rFonts w:eastAsia="DengXian" w:cs="Times New Roman"/>
                          <w:szCs w:val="20"/>
                          <w:lang w:val="en-GB" w:eastAsia="en-US"/>
                        </w:rPr>
                        <w:tab/>
                        <w:t>MU value</w:t>
                      </w:r>
                      <w:bookmarkEnd w:id="14"/>
                      <w:bookmarkEnd w:id="15"/>
                      <w:r w:rsidRPr="008F1055">
                        <w:rPr>
                          <w:rFonts w:eastAsia="DengXian" w:cs="Times New Roman"/>
                          <w:szCs w:val="20"/>
                          <w:lang w:val="en-GB" w:eastAsia="en-US"/>
                        </w:rPr>
                        <w:t xml:space="preserve"> derivation, FR1</w:t>
                      </w:r>
                      <w:bookmarkEnd w:id="16"/>
                      <w:bookmarkEnd w:id="17"/>
                      <w:bookmarkEnd w:id="18"/>
                      <w:bookmarkEnd w:id="19"/>
                      <w:bookmarkEnd w:id="20"/>
                      <w:bookmarkEnd w:id="21"/>
                      <w:bookmarkEnd w:id="22"/>
                    </w:p>
                    <w:p w14:paraId="2B70A315" w14:textId="77777777" w:rsidR="008F1055" w:rsidRPr="008F1055" w:rsidRDefault="008F1055" w:rsidP="008F1055">
                      <w:pPr>
                        <w:spacing w:after="180" w:line="240" w:lineRule="auto"/>
                        <w:rPr>
                          <w:rFonts w:ascii="Times New Roman" w:eastAsia="DengXian" w:hAnsi="Times New Roman" w:cs="Times New Roman"/>
                          <w:sz w:val="18"/>
                          <w:szCs w:val="20"/>
                          <w:lang w:val="en-GB" w:eastAsia="en-US"/>
                        </w:rPr>
                      </w:pPr>
                      <w:r w:rsidRPr="008F1055">
                        <w:rPr>
                          <w:rFonts w:ascii="Times New Roman" w:eastAsia="DengXian" w:hAnsi="Times New Roman" w:cs="Times New Roman"/>
                          <w:sz w:val="18"/>
                          <w:szCs w:val="20"/>
                          <w:lang w:val="en-GB" w:eastAsia="sv-SE"/>
                        </w:rPr>
                        <w:t xml:space="preserve">Table </w:t>
                      </w:r>
                      <w:r w:rsidRPr="008F1055">
                        <w:rPr>
                          <w:rFonts w:ascii="Times New Roman" w:eastAsia="DengXian" w:hAnsi="Times New Roman" w:cs="Times New Roman"/>
                          <w:sz w:val="18"/>
                          <w:szCs w:val="20"/>
                          <w:lang w:val="en-GB" w:eastAsia="en-US"/>
                        </w:rPr>
                        <w:t xml:space="preserve">9.2.6.3-1 captures the uncertainty budget contributors and table 9.2.6.3-2 captures the derivation of the expanded measurement uncertainty values for EIRP accuracy measurements in </w:t>
                      </w:r>
                      <w:r w:rsidRPr="008F1055">
                        <w:rPr>
                          <w:rFonts w:ascii="Times New Roman" w:eastAsia="DengXian" w:hAnsi="Times New Roman" w:cs="Times New Roman"/>
                          <w:sz w:val="18"/>
                          <w:szCs w:val="20"/>
                          <w:lang w:eastAsia="en-US"/>
                        </w:rPr>
                        <w:t>PWS</w:t>
                      </w:r>
                      <w:r w:rsidRPr="008F1055">
                        <w:rPr>
                          <w:rFonts w:ascii="Times New Roman" w:eastAsia="DengXian" w:hAnsi="Times New Roman" w:cs="Times New Roman"/>
                          <w:sz w:val="18"/>
                          <w:szCs w:val="20"/>
                          <w:lang w:val="en-GB" w:eastAsia="en-US"/>
                        </w:rPr>
                        <w:t>.</w:t>
                      </w:r>
                    </w:p>
                    <w:p w14:paraId="1B2D1581" w14:textId="77777777" w:rsidR="008F1055" w:rsidRPr="008F1055" w:rsidRDefault="008F1055" w:rsidP="008F1055">
                      <w:pPr>
                        <w:keepNext/>
                        <w:keepLines/>
                        <w:spacing w:before="60" w:after="180" w:line="240" w:lineRule="auto"/>
                        <w:jc w:val="center"/>
                        <w:rPr>
                          <w:rFonts w:eastAsia="DengXian" w:cs="Times New Roman"/>
                          <w:b/>
                          <w:sz w:val="18"/>
                          <w:szCs w:val="20"/>
                          <w:lang w:val="en-GB" w:eastAsia="en-US"/>
                        </w:rPr>
                      </w:pPr>
                      <w:r w:rsidRPr="008F1055">
                        <w:rPr>
                          <w:rFonts w:eastAsia="DengXian" w:cs="Times New Roman"/>
                          <w:b/>
                          <w:sz w:val="18"/>
                          <w:szCs w:val="20"/>
                          <w:lang w:val="en-GB" w:eastAsia="en-US"/>
                        </w:rPr>
                        <w:t xml:space="preserve">Table 9.2.6.3-1: PWS </w:t>
                      </w:r>
                      <w:r w:rsidRPr="008F1055">
                        <w:rPr>
                          <w:rFonts w:eastAsia="DengXian" w:cs="Times New Roman"/>
                          <w:b/>
                          <w:sz w:val="18"/>
                          <w:szCs w:val="20"/>
                          <w:lang w:val="en-GB" w:eastAsia="sv-SE"/>
                        </w:rPr>
                        <w:t>measurement</w:t>
                      </w:r>
                      <w:r w:rsidRPr="008F1055">
                        <w:rPr>
                          <w:rFonts w:eastAsia="DengXian" w:cs="Times New Roman"/>
                          <w:b/>
                          <w:sz w:val="18"/>
                          <w:szCs w:val="20"/>
                          <w:lang w:val="en-GB" w:eastAsia="en-US"/>
                        </w:rPr>
                        <w:t xml:space="preserve"> accuracy contributors</w:t>
                      </w:r>
                      <w:r w:rsidRPr="008F1055">
                        <w:rPr>
                          <w:rFonts w:eastAsia="DengXian" w:cs="Times New Roman"/>
                          <w:b/>
                          <w:sz w:val="18"/>
                          <w:szCs w:val="20"/>
                          <w:lang w:val="en-GB" w:eastAsia="sv-SE"/>
                        </w:rPr>
                        <w:t xml:space="preserve"> for</w:t>
                      </w:r>
                      <w:r w:rsidRPr="008F1055">
                        <w:rPr>
                          <w:rFonts w:eastAsia="DengXian" w:cs="Times New Roman"/>
                          <w:b/>
                          <w:sz w:val="18"/>
                          <w:szCs w:val="20"/>
                          <w:lang w:val="en-GB" w:eastAsia="en-US"/>
                        </w:rPr>
                        <w:t xml:space="preserve"> EIRP </w:t>
                      </w:r>
                      <w:r w:rsidRPr="008F1055">
                        <w:rPr>
                          <w:rFonts w:eastAsia="DengXian" w:cs="Times New Roman"/>
                          <w:b/>
                          <w:sz w:val="18"/>
                          <w:szCs w:val="20"/>
                          <w:lang w:val="en-GB" w:eastAsia="sv-SE"/>
                        </w:rPr>
                        <w:t xml:space="preserve">accuracy </w:t>
                      </w:r>
                      <w:r w:rsidRPr="008F1055">
                        <w:rPr>
                          <w:rFonts w:eastAsia="DengXian" w:cs="Times New Roman"/>
                          <w:b/>
                          <w:sz w:val="18"/>
                          <w:szCs w:val="20"/>
                          <w:lang w:val="en-GB" w:eastAsia="en-US"/>
                        </w:rPr>
                        <w:t>measurements, FR1</w:t>
                      </w:r>
                    </w:p>
                    <w:tbl>
                      <w:tblPr>
                        <w:tblW w:w="0" w:type="auto"/>
                        <w:jc w:val="center"/>
                        <w:tblLook w:val="04A0" w:firstRow="1" w:lastRow="0" w:firstColumn="1" w:lastColumn="0" w:noHBand="0" w:noVBand="1"/>
                      </w:tblPr>
                      <w:tblGrid>
                        <w:gridCol w:w="1640"/>
                        <w:gridCol w:w="6699"/>
                      </w:tblGrid>
                      <w:tr w:rsidR="008F1055" w:rsidRPr="008F1055" w14:paraId="0A5B32BB" w14:textId="77777777" w:rsidTr="008F1055">
                        <w:trPr>
                          <w:trHeight w:val="28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9EA42C"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0CE934"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Uncertainty source</w:t>
                            </w:r>
                          </w:p>
                        </w:tc>
                      </w:tr>
                      <w:tr w:rsidR="008F1055" w:rsidRPr="008F1055" w14:paraId="480490EC" w14:textId="77777777" w:rsidTr="008F1055">
                        <w:trPr>
                          <w:trHeight w:val="186"/>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7B5E44F"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Stage 2: BS measurement</w:t>
                            </w:r>
                          </w:p>
                        </w:tc>
                      </w:tr>
                      <w:tr w:rsidR="008F1055" w:rsidRPr="008F1055" w14:paraId="20FECD68"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38766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A7-1a</w:t>
                            </w:r>
                          </w:p>
                        </w:tc>
                        <w:tc>
                          <w:tcPr>
                            <w:tcW w:w="0" w:type="auto"/>
                            <w:tcBorders>
                              <w:top w:val="nil"/>
                              <w:left w:val="nil"/>
                              <w:bottom w:val="single" w:sz="4" w:space="0" w:color="auto"/>
                              <w:right w:val="single" w:sz="4" w:space="0" w:color="auto"/>
                            </w:tcBorders>
                            <w:shd w:val="clear" w:color="auto" w:fill="auto"/>
                            <w:vAlign w:val="center"/>
                            <w:hideMark/>
                          </w:tcPr>
                          <w:p w14:paraId="7B23A1B0"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Misalignment BS &amp; pointing error</w:t>
                            </w:r>
                          </w:p>
                        </w:tc>
                      </w:tr>
                      <w:tr w:rsidR="008F1055" w:rsidRPr="008F1055" w14:paraId="46444C9D"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1ADAFB"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C1-1</w:t>
                            </w:r>
                          </w:p>
                        </w:tc>
                        <w:tc>
                          <w:tcPr>
                            <w:tcW w:w="0" w:type="auto"/>
                            <w:tcBorders>
                              <w:top w:val="nil"/>
                              <w:left w:val="nil"/>
                              <w:bottom w:val="single" w:sz="4" w:space="0" w:color="auto"/>
                              <w:right w:val="single" w:sz="4" w:space="0" w:color="auto"/>
                            </w:tcBorders>
                            <w:shd w:val="clear" w:color="auto" w:fill="auto"/>
                            <w:vAlign w:val="center"/>
                            <w:hideMark/>
                          </w:tcPr>
                          <w:p w14:paraId="234FC4F9"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RF power measurement equipment (e.g. spectrum analyzer, power meter)</w:t>
                            </w:r>
                          </w:p>
                        </w:tc>
                      </w:tr>
                      <w:tr w:rsidR="008F1055" w:rsidRPr="008F1055" w14:paraId="5D78833B"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BF9CD" w14:textId="77777777" w:rsidR="008F1055" w:rsidRPr="008F1055" w:rsidRDefault="008F1055" w:rsidP="008F1055">
                            <w:pPr>
                              <w:spacing w:after="0" w:line="240" w:lineRule="auto"/>
                              <w:jc w:val="center"/>
                              <w:rPr>
                                <w:rFonts w:eastAsia="SimSun"/>
                                <w:color w:val="000000"/>
                                <w:sz w:val="14"/>
                                <w:szCs w:val="16"/>
                                <w:highlight w:val="yellow"/>
                              </w:rPr>
                            </w:pPr>
                            <w:bookmarkStart w:id="24" w:name="RANGE!S158"/>
                            <w:r w:rsidRPr="008F1055">
                              <w:rPr>
                                <w:rFonts w:eastAsia="SimSun"/>
                                <w:color w:val="000000"/>
                                <w:sz w:val="14"/>
                                <w:szCs w:val="16"/>
                                <w:highlight w:val="yellow"/>
                              </w:rPr>
                              <w:t>A7-2a</w:t>
                            </w:r>
                            <w:bookmarkEnd w:id="24"/>
                          </w:p>
                        </w:tc>
                        <w:tc>
                          <w:tcPr>
                            <w:tcW w:w="0" w:type="auto"/>
                            <w:tcBorders>
                              <w:top w:val="nil"/>
                              <w:left w:val="nil"/>
                              <w:bottom w:val="single" w:sz="4" w:space="0" w:color="auto"/>
                              <w:right w:val="single" w:sz="4" w:space="0" w:color="auto"/>
                            </w:tcBorders>
                            <w:shd w:val="clear" w:color="auto" w:fill="auto"/>
                            <w:vAlign w:val="center"/>
                            <w:hideMark/>
                          </w:tcPr>
                          <w:p w14:paraId="28EB145A"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Longitudinal position uncertainty (i.e. standing wave and imperfect field synthesis) for BS antenna</w:t>
                            </w:r>
                          </w:p>
                        </w:tc>
                      </w:tr>
                      <w:tr w:rsidR="008F1055" w:rsidRPr="008F1055" w14:paraId="2B78D95E"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4F53A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45496372"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RF leakage (calibration antenna connector terminated)</w:t>
                            </w:r>
                          </w:p>
                        </w:tc>
                      </w:tr>
                      <w:tr w:rsidR="008F1055" w:rsidRPr="008F1055" w14:paraId="3FB99FF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37B387"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A7-4a</w:t>
                            </w:r>
                          </w:p>
                        </w:tc>
                        <w:tc>
                          <w:tcPr>
                            <w:tcW w:w="0" w:type="auto"/>
                            <w:tcBorders>
                              <w:top w:val="nil"/>
                              <w:left w:val="nil"/>
                              <w:bottom w:val="single" w:sz="4" w:space="0" w:color="auto"/>
                              <w:right w:val="single" w:sz="4" w:space="0" w:color="auto"/>
                            </w:tcBorders>
                            <w:shd w:val="clear" w:color="auto" w:fill="auto"/>
                            <w:vAlign w:val="center"/>
                            <w:hideMark/>
                          </w:tcPr>
                          <w:p w14:paraId="31EF2DB7"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QZ ripple with BS</w:t>
                            </w:r>
                          </w:p>
                        </w:tc>
                      </w:tr>
                      <w:tr w:rsidR="008F1055" w:rsidRPr="008F1055" w14:paraId="5F8A3A06"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3BBD4C"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A7-5</w:t>
                            </w:r>
                          </w:p>
                        </w:tc>
                        <w:tc>
                          <w:tcPr>
                            <w:tcW w:w="0" w:type="auto"/>
                            <w:tcBorders>
                              <w:top w:val="nil"/>
                              <w:left w:val="nil"/>
                              <w:bottom w:val="single" w:sz="4" w:space="0" w:color="auto"/>
                              <w:right w:val="single" w:sz="4" w:space="0" w:color="auto"/>
                            </w:tcBorders>
                            <w:shd w:val="clear" w:color="auto" w:fill="auto"/>
                            <w:vAlign w:val="center"/>
                            <w:hideMark/>
                          </w:tcPr>
                          <w:p w14:paraId="41D9E746"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Miscellaneous Uncertainty</w:t>
                            </w:r>
                          </w:p>
                        </w:tc>
                      </w:tr>
                      <w:tr w:rsidR="008F1055" w:rsidRPr="008F1055" w14:paraId="27BAF8A5" w14:textId="77777777" w:rsidTr="008F1055">
                        <w:trPr>
                          <w:trHeight w:val="1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E0F0F7"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A7-14</w:t>
                            </w:r>
                          </w:p>
                        </w:tc>
                        <w:tc>
                          <w:tcPr>
                            <w:tcW w:w="0" w:type="auto"/>
                            <w:tcBorders>
                              <w:top w:val="nil"/>
                              <w:left w:val="nil"/>
                              <w:bottom w:val="single" w:sz="4" w:space="0" w:color="auto"/>
                              <w:right w:val="single" w:sz="4" w:space="0" w:color="auto"/>
                            </w:tcBorders>
                            <w:shd w:val="clear" w:color="auto" w:fill="auto"/>
                            <w:vAlign w:val="center"/>
                            <w:hideMark/>
                          </w:tcPr>
                          <w:p w14:paraId="54890613"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System non-linearity</w:t>
                            </w:r>
                          </w:p>
                        </w:tc>
                      </w:tr>
                      <w:tr w:rsidR="008F1055" w:rsidRPr="008F1055" w14:paraId="5D19FFFE"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E1A171"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A7-13</w:t>
                            </w:r>
                          </w:p>
                        </w:tc>
                        <w:tc>
                          <w:tcPr>
                            <w:tcW w:w="0" w:type="auto"/>
                            <w:tcBorders>
                              <w:top w:val="nil"/>
                              <w:left w:val="nil"/>
                              <w:bottom w:val="single" w:sz="4" w:space="0" w:color="auto"/>
                              <w:right w:val="single" w:sz="4" w:space="0" w:color="auto"/>
                            </w:tcBorders>
                            <w:shd w:val="clear" w:color="auto" w:fill="auto"/>
                            <w:vAlign w:val="center"/>
                            <w:hideMark/>
                          </w:tcPr>
                          <w:p w14:paraId="4CFB3B2D"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Frequency Flatness</w:t>
                            </w:r>
                          </w:p>
                        </w:tc>
                      </w:tr>
                      <w:tr w:rsidR="008F1055" w:rsidRPr="008F1055" w14:paraId="18FAEC0F" w14:textId="77777777" w:rsidTr="008F1055">
                        <w:trPr>
                          <w:trHeight w:val="177"/>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97E9A86" w14:textId="77777777" w:rsidR="008F1055" w:rsidRPr="008F1055" w:rsidRDefault="008F1055" w:rsidP="008F1055">
                            <w:pPr>
                              <w:spacing w:after="0" w:line="240" w:lineRule="auto"/>
                              <w:jc w:val="center"/>
                              <w:rPr>
                                <w:rFonts w:eastAsia="SimSun"/>
                                <w:b/>
                                <w:bCs/>
                                <w:color w:val="000000"/>
                                <w:sz w:val="14"/>
                                <w:szCs w:val="16"/>
                              </w:rPr>
                            </w:pPr>
                            <w:r w:rsidRPr="008F1055">
                              <w:rPr>
                                <w:rFonts w:eastAsia="SimSun"/>
                                <w:b/>
                                <w:bCs/>
                                <w:color w:val="000000"/>
                                <w:sz w:val="14"/>
                                <w:szCs w:val="16"/>
                              </w:rPr>
                              <w:t>Stage 1: Calibration measurement</w:t>
                            </w:r>
                          </w:p>
                        </w:tc>
                      </w:tr>
                      <w:tr w:rsidR="008F1055" w:rsidRPr="008F1055" w14:paraId="1802C580" w14:textId="77777777" w:rsidTr="008F1055">
                        <w:trPr>
                          <w:trHeight w:val="16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3ECC12"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C1-3</w:t>
                            </w:r>
                          </w:p>
                        </w:tc>
                        <w:tc>
                          <w:tcPr>
                            <w:tcW w:w="0" w:type="auto"/>
                            <w:tcBorders>
                              <w:top w:val="nil"/>
                              <w:left w:val="nil"/>
                              <w:bottom w:val="single" w:sz="4" w:space="0" w:color="auto"/>
                              <w:right w:val="single" w:sz="4" w:space="0" w:color="auto"/>
                            </w:tcBorders>
                            <w:shd w:val="clear" w:color="auto" w:fill="auto"/>
                            <w:vAlign w:val="center"/>
                            <w:hideMark/>
                          </w:tcPr>
                          <w:p w14:paraId="1D27B977"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Uncertainty of the network analyzer</w:t>
                            </w:r>
                          </w:p>
                        </w:tc>
                      </w:tr>
                      <w:tr w:rsidR="008F1055" w:rsidRPr="008F1055" w14:paraId="219FED3A"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5F8CFA"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A7-6</w:t>
                            </w:r>
                          </w:p>
                        </w:tc>
                        <w:tc>
                          <w:tcPr>
                            <w:tcW w:w="0" w:type="auto"/>
                            <w:tcBorders>
                              <w:top w:val="nil"/>
                              <w:left w:val="nil"/>
                              <w:bottom w:val="single" w:sz="4" w:space="0" w:color="auto"/>
                              <w:right w:val="single" w:sz="4" w:space="0" w:color="auto"/>
                            </w:tcBorders>
                            <w:shd w:val="clear" w:color="auto" w:fill="auto"/>
                            <w:vAlign w:val="center"/>
                            <w:hideMark/>
                          </w:tcPr>
                          <w:p w14:paraId="15B0259E"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Mismatch (i.e. reference antenna, network analyser and reference cable)</w:t>
                            </w:r>
                          </w:p>
                        </w:tc>
                      </w:tr>
                      <w:tr w:rsidR="008F1055" w:rsidRPr="008F1055" w14:paraId="09B1AEFD"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5C80D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A7-7</w:t>
                            </w:r>
                          </w:p>
                        </w:tc>
                        <w:tc>
                          <w:tcPr>
                            <w:tcW w:w="0" w:type="auto"/>
                            <w:tcBorders>
                              <w:top w:val="nil"/>
                              <w:left w:val="nil"/>
                              <w:bottom w:val="single" w:sz="4" w:space="0" w:color="auto"/>
                              <w:right w:val="single" w:sz="4" w:space="0" w:color="auto"/>
                            </w:tcBorders>
                            <w:shd w:val="clear" w:color="auto" w:fill="auto"/>
                            <w:vAlign w:val="center"/>
                            <w:hideMark/>
                          </w:tcPr>
                          <w:p w14:paraId="6AC7AFD7"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 xml:space="preserve">Insertion loss variation </w:t>
                            </w:r>
                          </w:p>
                        </w:tc>
                      </w:tr>
                      <w:tr w:rsidR="008F1055" w:rsidRPr="008F1055" w14:paraId="4330E964"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2D856"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A7-3</w:t>
                            </w:r>
                          </w:p>
                        </w:tc>
                        <w:tc>
                          <w:tcPr>
                            <w:tcW w:w="0" w:type="auto"/>
                            <w:tcBorders>
                              <w:top w:val="nil"/>
                              <w:left w:val="nil"/>
                              <w:bottom w:val="single" w:sz="4" w:space="0" w:color="auto"/>
                              <w:right w:val="single" w:sz="4" w:space="0" w:color="auto"/>
                            </w:tcBorders>
                            <w:shd w:val="clear" w:color="auto" w:fill="auto"/>
                            <w:vAlign w:val="center"/>
                            <w:hideMark/>
                          </w:tcPr>
                          <w:p w14:paraId="1C82061B"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RF leakage (calibration antenna connector terminated)</w:t>
                            </w:r>
                          </w:p>
                        </w:tc>
                      </w:tr>
                      <w:tr w:rsidR="008F1055" w:rsidRPr="008F1055" w14:paraId="5264A9C3"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766D6B"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A7-8</w:t>
                            </w:r>
                          </w:p>
                        </w:tc>
                        <w:tc>
                          <w:tcPr>
                            <w:tcW w:w="0" w:type="auto"/>
                            <w:tcBorders>
                              <w:top w:val="nil"/>
                              <w:left w:val="nil"/>
                              <w:bottom w:val="single" w:sz="4" w:space="0" w:color="auto"/>
                              <w:right w:val="single" w:sz="4" w:space="0" w:color="auto"/>
                            </w:tcBorders>
                            <w:shd w:val="clear" w:color="auto" w:fill="auto"/>
                            <w:vAlign w:val="center"/>
                            <w:hideMark/>
                          </w:tcPr>
                          <w:p w14:paraId="485079FD"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Influence of the calibration antenna feed cable</w:t>
                            </w:r>
                          </w:p>
                        </w:tc>
                      </w:tr>
                      <w:tr w:rsidR="008F1055" w:rsidRPr="008F1055" w14:paraId="551C2ED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18949"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C1-4</w:t>
                            </w:r>
                          </w:p>
                        </w:tc>
                        <w:tc>
                          <w:tcPr>
                            <w:tcW w:w="0" w:type="auto"/>
                            <w:tcBorders>
                              <w:top w:val="nil"/>
                              <w:left w:val="nil"/>
                              <w:bottom w:val="single" w:sz="4" w:space="0" w:color="auto"/>
                              <w:right w:val="single" w:sz="4" w:space="0" w:color="auto"/>
                            </w:tcBorders>
                            <w:shd w:val="clear" w:color="auto" w:fill="auto"/>
                            <w:vAlign w:val="center"/>
                            <w:hideMark/>
                          </w:tcPr>
                          <w:p w14:paraId="538CA17E"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Uncertainty of the absolute gain of the reference antenna</w:t>
                            </w:r>
                          </w:p>
                        </w:tc>
                      </w:tr>
                      <w:tr w:rsidR="008F1055" w:rsidRPr="008F1055" w14:paraId="649B444E"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F0185"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A7-9</w:t>
                            </w:r>
                          </w:p>
                        </w:tc>
                        <w:tc>
                          <w:tcPr>
                            <w:tcW w:w="0" w:type="auto"/>
                            <w:tcBorders>
                              <w:top w:val="nil"/>
                              <w:left w:val="nil"/>
                              <w:bottom w:val="single" w:sz="4" w:space="0" w:color="auto"/>
                              <w:right w:val="single" w:sz="4" w:space="0" w:color="auto"/>
                            </w:tcBorders>
                            <w:shd w:val="clear" w:color="auto" w:fill="auto"/>
                            <w:vAlign w:val="center"/>
                            <w:hideMark/>
                          </w:tcPr>
                          <w:p w14:paraId="4D2A235B"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Misalignment of positioning system</w:t>
                            </w:r>
                          </w:p>
                        </w:tc>
                      </w:tr>
                      <w:tr w:rsidR="008F1055" w:rsidRPr="008F1055" w14:paraId="6E9B8B7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853E8"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A7-1b</w:t>
                            </w:r>
                          </w:p>
                        </w:tc>
                        <w:tc>
                          <w:tcPr>
                            <w:tcW w:w="0" w:type="auto"/>
                            <w:tcBorders>
                              <w:top w:val="nil"/>
                              <w:left w:val="nil"/>
                              <w:bottom w:val="single" w:sz="4" w:space="0" w:color="auto"/>
                              <w:right w:val="single" w:sz="4" w:space="0" w:color="auto"/>
                            </w:tcBorders>
                            <w:shd w:val="clear" w:color="auto" w:fill="auto"/>
                            <w:vAlign w:val="center"/>
                            <w:hideMark/>
                          </w:tcPr>
                          <w:p w14:paraId="75D7B083"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Misalignment of calibration antenna &amp; pointing error</w:t>
                            </w:r>
                          </w:p>
                        </w:tc>
                      </w:tr>
                      <w:tr w:rsidR="008F1055" w:rsidRPr="008F1055" w14:paraId="10ADA54C"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43755B"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A7-10</w:t>
                            </w:r>
                          </w:p>
                        </w:tc>
                        <w:tc>
                          <w:tcPr>
                            <w:tcW w:w="0" w:type="auto"/>
                            <w:tcBorders>
                              <w:top w:val="nil"/>
                              <w:left w:val="nil"/>
                              <w:bottom w:val="single" w:sz="4" w:space="0" w:color="auto"/>
                              <w:right w:val="single" w:sz="4" w:space="0" w:color="auto"/>
                            </w:tcBorders>
                            <w:shd w:val="clear" w:color="auto" w:fill="auto"/>
                            <w:vAlign w:val="center"/>
                            <w:hideMark/>
                          </w:tcPr>
                          <w:p w14:paraId="16FA0565"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Rotary joints</w:t>
                            </w:r>
                          </w:p>
                        </w:tc>
                      </w:tr>
                      <w:tr w:rsidR="008F1055" w:rsidRPr="008F1055" w14:paraId="4E28425F" w14:textId="77777777" w:rsidTr="008F1055">
                        <w:trPr>
                          <w:trHeight w:val="28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AB1186"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A7-2b</w:t>
                            </w:r>
                          </w:p>
                        </w:tc>
                        <w:tc>
                          <w:tcPr>
                            <w:tcW w:w="0" w:type="auto"/>
                            <w:tcBorders>
                              <w:top w:val="nil"/>
                              <w:left w:val="nil"/>
                              <w:bottom w:val="single" w:sz="4" w:space="0" w:color="auto"/>
                              <w:right w:val="single" w:sz="4" w:space="0" w:color="auto"/>
                            </w:tcBorders>
                            <w:shd w:val="clear" w:color="auto" w:fill="auto"/>
                            <w:vAlign w:val="center"/>
                            <w:hideMark/>
                          </w:tcPr>
                          <w:p w14:paraId="6DCC355E"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Longitudinal position uncertainty (i.e. standing wave and imperfect field synthesis) for calibration antenna</w:t>
                            </w:r>
                          </w:p>
                        </w:tc>
                      </w:tr>
                      <w:tr w:rsidR="008F1055" w:rsidRPr="008F1055" w14:paraId="6B31F19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70DA6"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A7-4b</w:t>
                            </w:r>
                          </w:p>
                        </w:tc>
                        <w:tc>
                          <w:tcPr>
                            <w:tcW w:w="0" w:type="auto"/>
                            <w:tcBorders>
                              <w:top w:val="nil"/>
                              <w:left w:val="nil"/>
                              <w:bottom w:val="single" w:sz="4" w:space="0" w:color="auto"/>
                              <w:right w:val="single" w:sz="4" w:space="0" w:color="auto"/>
                            </w:tcBorders>
                            <w:shd w:val="clear" w:color="auto" w:fill="auto"/>
                            <w:vAlign w:val="center"/>
                            <w:hideMark/>
                          </w:tcPr>
                          <w:p w14:paraId="4D23A306"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QZ ripple with calibration antenna</w:t>
                            </w:r>
                          </w:p>
                        </w:tc>
                      </w:tr>
                      <w:tr w:rsidR="008F1055" w:rsidRPr="008F1055" w14:paraId="5ED127EA"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F55CC" w14:textId="77777777" w:rsidR="008F1055" w:rsidRPr="008F1055" w:rsidRDefault="008F1055" w:rsidP="008F1055">
                            <w:pPr>
                              <w:spacing w:after="0" w:line="240" w:lineRule="auto"/>
                              <w:jc w:val="center"/>
                              <w:rPr>
                                <w:rFonts w:eastAsia="SimSun"/>
                                <w:color w:val="000000"/>
                                <w:sz w:val="14"/>
                                <w:szCs w:val="16"/>
                              </w:rPr>
                            </w:pPr>
                            <w:r w:rsidRPr="008F1055">
                              <w:rPr>
                                <w:rFonts w:eastAsia="SimSun"/>
                                <w:color w:val="000000"/>
                                <w:sz w:val="14"/>
                                <w:szCs w:val="16"/>
                              </w:rPr>
                              <w:t>A7-11</w:t>
                            </w:r>
                          </w:p>
                        </w:tc>
                        <w:tc>
                          <w:tcPr>
                            <w:tcW w:w="0" w:type="auto"/>
                            <w:tcBorders>
                              <w:top w:val="nil"/>
                              <w:left w:val="nil"/>
                              <w:bottom w:val="single" w:sz="4" w:space="0" w:color="auto"/>
                              <w:right w:val="single" w:sz="4" w:space="0" w:color="auto"/>
                            </w:tcBorders>
                            <w:shd w:val="clear" w:color="auto" w:fill="auto"/>
                            <w:vAlign w:val="center"/>
                            <w:hideMark/>
                          </w:tcPr>
                          <w:p w14:paraId="455B68D2" w14:textId="77777777" w:rsidR="008F1055" w:rsidRPr="008F1055" w:rsidRDefault="008F1055" w:rsidP="008F1055">
                            <w:pPr>
                              <w:spacing w:after="0" w:line="240" w:lineRule="auto"/>
                              <w:rPr>
                                <w:rFonts w:eastAsia="SimSun"/>
                                <w:color w:val="000000"/>
                                <w:sz w:val="14"/>
                                <w:szCs w:val="16"/>
                              </w:rPr>
                            </w:pPr>
                            <w:r w:rsidRPr="008F1055">
                              <w:rPr>
                                <w:rFonts w:eastAsia="SimSun"/>
                                <w:color w:val="000000"/>
                                <w:sz w:val="14"/>
                                <w:szCs w:val="16"/>
                              </w:rPr>
                              <w:t>Switching uncertainty</w:t>
                            </w:r>
                          </w:p>
                        </w:tc>
                      </w:tr>
                      <w:tr w:rsidR="008F1055" w:rsidRPr="008F1055" w14:paraId="00B92B8F" w14:textId="77777777" w:rsidTr="008F1055">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F51DDE" w14:textId="77777777" w:rsidR="008F1055" w:rsidRPr="008F1055" w:rsidRDefault="008F1055" w:rsidP="008F1055">
                            <w:pPr>
                              <w:spacing w:after="0" w:line="240" w:lineRule="auto"/>
                              <w:jc w:val="center"/>
                              <w:rPr>
                                <w:rFonts w:eastAsia="SimSun"/>
                                <w:color w:val="000000"/>
                                <w:sz w:val="14"/>
                                <w:szCs w:val="16"/>
                                <w:highlight w:val="yellow"/>
                              </w:rPr>
                            </w:pPr>
                            <w:r w:rsidRPr="008F1055">
                              <w:rPr>
                                <w:rFonts w:eastAsia="SimSun"/>
                                <w:color w:val="000000"/>
                                <w:sz w:val="14"/>
                                <w:szCs w:val="16"/>
                                <w:highlight w:val="yellow"/>
                              </w:rPr>
                              <w:t>A7-12</w:t>
                            </w:r>
                          </w:p>
                        </w:tc>
                        <w:tc>
                          <w:tcPr>
                            <w:tcW w:w="0" w:type="auto"/>
                            <w:tcBorders>
                              <w:top w:val="nil"/>
                              <w:left w:val="nil"/>
                              <w:bottom w:val="single" w:sz="4" w:space="0" w:color="auto"/>
                              <w:right w:val="single" w:sz="4" w:space="0" w:color="auto"/>
                            </w:tcBorders>
                            <w:shd w:val="clear" w:color="auto" w:fill="auto"/>
                            <w:vAlign w:val="center"/>
                            <w:hideMark/>
                          </w:tcPr>
                          <w:p w14:paraId="0E8789AB" w14:textId="77777777" w:rsidR="008F1055" w:rsidRPr="008F1055" w:rsidRDefault="008F1055" w:rsidP="008F1055">
                            <w:pPr>
                              <w:spacing w:after="0" w:line="240" w:lineRule="auto"/>
                              <w:rPr>
                                <w:rFonts w:eastAsia="SimSun"/>
                                <w:color w:val="000000"/>
                                <w:sz w:val="14"/>
                                <w:szCs w:val="16"/>
                                <w:highlight w:val="yellow"/>
                              </w:rPr>
                            </w:pPr>
                            <w:r w:rsidRPr="008F1055">
                              <w:rPr>
                                <w:rFonts w:eastAsia="SimSun"/>
                                <w:color w:val="000000"/>
                                <w:sz w:val="14"/>
                                <w:szCs w:val="16"/>
                                <w:highlight w:val="yellow"/>
                              </w:rPr>
                              <w:t>Field repeatability</w:t>
                            </w:r>
                          </w:p>
                        </w:tc>
                      </w:tr>
                      <w:bookmarkEnd w:id="23"/>
                    </w:tbl>
                    <w:p w14:paraId="71E07D3F" w14:textId="5EAB3AAF" w:rsidR="005D0416" w:rsidRPr="008F1055" w:rsidRDefault="005D0416" w:rsidP="001269B5">
                      <w:pPr>
                        <w:rPr>
                          <w:sz w:val="20"/>
                        </w:rPr>
                      </w:pPr>
                    </w:p>
                  </w:txbxContent>
                </v:textbox>
                <w10:anchorlock/>
              </v:shape>
            </w:pict>
          </mc:Fallback>
        </mc:AlternateContent>
      </w:r>
    </w:p>
    <w:p w14:paraId="1892F0B7" w14:textId="50E30DC6" w:rsidR="00AE73D9" w:rsidRPr="00E02073" w:rsidRDefault="00AE73D9">
      <w:pPr>
        <w:spacing w:after="0" w:line="240" w:lineRule="auto"/>
        <w:rPr>
          <w:rFonts w:cs="Times New Roman"/>
          <w:b/>
          <w:sz w:val="28"/>
          <w:szCs w:val="20"/>
          <w:lang w:eastAsia="en-US"/>
        </w:rPr>
      </w:pPr>
    </w:p>
    <w:p w14:paraId="51B532E8" w14:textId="3E7E9124" w:rsidR="003D3FB9" w:rsidRPr="00E02073" w:rsidRDefault="003D3FB9" w:rsidP="003D3FB9">
      <w:pPr>
        <w:pStyle w:val="Heading1"/>
        <w:rPr>
          <w:lang w:val="en-US"/>
        </w:rPr>
      </w:pPr>
      <w:r w:rsidRPr="00E02073">
        <w:rPr>
          <w:lang w:val="en-US"/>
        </w:rPr>
        <w:t>Error contribution descriptions</w:t>
      </w:r>
    </w:p>
    <w:p w14:paraId="64132531" w14:textId="5FA897B2" w:rsidR="00AD59A0" w:rsidRPr="00C206DF" w:rsidRDefault="00AD59A0" w:rsidP="001269B5">
      <w:pPr>
        <w:jc w:val="both"/>
        <w:rPr>
          <w:strike/>
        </w:rPr>
      </w:pPr>
      <w:r w:rsidRPr="00E02073">
        <w:rPr>
          <w:lang w:eastAsia="en-US"/>
        </w:rPr>
        <w:t xml:space="preserve">The following sections describe in detail the </w:t>
      </w:r>
      <w:r w:rsidR="005C5E8E">
        <w:rPr>
          <w:lang w:eastAsia="en-US"/>
        </w:rPr>
        <w:t xml:space="preserve">corresponding </w:t>
      </w:r>
      <w:r w:rsidRPr="00E02073">
        <w:rPr>
          <w:lang w:eastAsia="en-US"/>
        </w:rPr>
        <w:t>evaluation</w:t>
      </w:r>
      <w:r w:rsidR="005C5E8E">
        <w:rPr>
          <w:lang w:eastAsia="en-US"/>
        </w:rPr>
        <w:t>,</w:t>
      </w:r>
      <w:r w:rsidRPr="00E02073">
        <w:rPr>
          <w:lang w:eastAsia="en-US"/>
        </w:rPr>
        <w:t xml:space="preserve"> </w:t>
      </w:r>
      <w:r w:rsidR="005C5E8E">
        <w:rPr>
          <w:lang w:eastAsia="en-US"/>
        </w:rPr>
        <w:t xml:space="preserve">based on measurements </w:t>
      </w:r>
      <w:r w:rsidR="00E319B7">
        <w:rPr>
          <w:lang w:eastAsia="en-US"/>
        </w:rPr>
        <w:t xml:space="preserve">in the range of 4.2GHz to 6GHz </w:t>
      </w:r>
      <w:r w:rsidR="005C5E8E">
        <w:rPr>
          <w:lang w:eastAsia="en-US"/>
        </w:rPr>
        <w:t xml:space="preserve">on the actual </w:t>
      </w:r>
      <w:r w:rsidR="005C5E8E" w:rsidRPr="00E02073">
        <w:rPr>
          <w:lang w:eastAsia="en-US"/>
        </w:rPr>
        <w:t>R&amp;S implementation of PW</w:t>
      </w:r>
      <w:r w:rsidR="005C5E8E">
        <w:rPr>
          <w:lang w:eastAsia="en-US"/>
        </w:rPr>
        <w:t xml:space="preserve">S, </w:t>
      </w:r>
      <w:r w:rsidRPr="00E02073">
        <w:rPr>
          <w:lang w:eastAsia="en-US"/>
        </w:rPr>
        <w:t xml:space="preserve">for each of the MU terms </w:t>
      </w:r>
      <w:r w:rsidR="005C5E8E">
        <w:rPr>
          <w:lang w:eastAsia="en-US"/>
        </w:rPr>
        <w:t xml:space="preserve">highlighted </w:t>
      </w:r>
      <w:r w:rsidRPr="00E02073">
        <w:rPr>
          <w:lang w:eastAsia="en-US"/>
        </w:rPr>
        <w:t>in</w:t>
      </w:r>
      <w:r w:rsidR="005C5E8E">
        <w:rPr>
          <w:lang w:eastAsia="en-US"/>
        </w:rPr>
        <w:t xml:space="preserve"> previous tables</w:t>
      </w:r>
      <w:r w:rsidR="008F1055" w:rsidRPr="008F1055">
        <w:rPr>
          <w:lang w:eastAsia="en-US"/>
        </w:rPr>
        <w:t>.</w:t>
      </w:r>
    </w:p>
    <w:p w14:paraId="449108B0" w14:textId="7480D3CA" w:rsidR="00C206DF" w:rsidRDefault="00C206DF" w:rsidP="00C206DF">
      <w:pPr>
        <w:pStyle w:val="Heading2"/>
        <w:rPr>
          <w:lang w:val="en-US"/>
        </w:rPr>
      </w:pPr>
      <w:r w:rsidRPr="00C206DF">
        <w:rPr>
          <w:lang w:val="en-US"/>
        </w:rPr>
        <w:t>Longitudinal position uncertainty (i.e. standing wave and imperfect field synthesis) for DUT antenna</w:t>
      </w:r>
      <w:r>
        <w:rPr>
          <w:lang w:val="en-US"/>
        </w:rPr>
        <w:t>/calibration antenna</w:t>
      </w:r>
    </w:p>
    <w:p w14:paraId="423AE0BA" w14:textId="5860A8A4" w:rsidR="00366398" w:rsidRPr="00E02073" w:rsidRDefault="008F1055" w:rsidP="00366398">
      <w:pPr>
        <w:jc w:val="both"/>
        <w:rPr>
          <w:lang w:eastAsia="en-US"/>
        </w:rPr>
      </w:pPr>
      <w:r>
        <w:rPr>
          <w:lang w:eastAsia="en-US"/>
        </w:rPr>
        <w:t>As described in</w:t>
      </w:r>
      <w:r w:rsidR="00016C07">
        <w:rPr>
          <w:lang w:eastAsia="en-US"/>
        </w:rPr>
        <w:t xml:space="preserve"> </w:t>
      </w:r>
      <w:r w:rsidR="00016C07">
        <w:rPr>
          <w:lang w:eastAsia="en-US"/>
        </w:rPr>
        <w:fldChar w:fldCharType="begin"/>
      </w:r>
      <w:r w:rsidR="00016C07">
        <w:rPr>
          <w:lang w:eastAsia="en-US"/>
        </w:rPr>
        <w:instrText xml:space="preserve"> REF _Ref54375231 \r \h </w:instrText>
      </w:r>
      <w:r w:rsidR="00016C07">
        <w:rPr>
          <w:lang w:eastAsia="en-US"/>
        </w:rPr>
      </w:r>
      <w:r w:rsidR="00016C07">
        <w:rPr>
          <w:lang w:eastAsia="en-US"/>
        </w:rPr>
        <w:fldChar w:fldCharType="separate"/>
      </w:r>
      <w:r w:rsidR="00705836">
        <w:rPr>
          <w:lang w:eastAsia="en-US"/>
        </w:rPr>
        <w:t>[4]</w:t>
      </w:r>
      <w:r w:rsidR="00016C07">
        <w:rPr>
          <w:lang w:eastAsia="en-US"/>
        </w:rPr>
        <w:fldChar w:fldCharType="end"/>
      </w:r>
      <w:r>
        <w:rPr>
          <w:lang w:eastAsia="en-US"/>
        </w:rPr>
        <w:t>, t</w:t>
      </w:r>
      <w:r w:rsidR="00366398" w:rsidRPr="00E02073">
        <w:rPr>
          <w:lang w:eastAsia="en-US"/>
        </w:rPr>
        <w:t>his MU term covers both the standing wave between DUT or calibration antenna and the test range antenna as per section</w:t>
      </w:r>
      <w:r>
        <w:rPr>
          <w:lang w:eastAsia="en-US"/>
        </w:rPr>
        <w:t xml:space="preserve"> </w:t>
      </w:r>
      <w:r w:rsidR="00366398" w:rsidRPr="00E02073">
        <w:rPr>
          <w:lang w:eastAsia="en-US"/>
        </w:rPr>
        <w:t>but it also counts for the PW</w:t>
      </w:r>
      <w:r>
        <w:rPr>
          <w:lang w:eastAsia="en-US"/>
        </w:rPr>
        <w:t>S</w:t>
      </w:r>
      <w:r w:rsidR="00366398" w:rsidRPr="00E02073">
        <w:rPr>
          <w:lang w:eastAsia="en-US"/>
        </w:rPr>
        <w:t xml:space="preserve"> imperfect field synthesis over distance.</w:t>
      </w:r>
    </w:p>
    <w:p w14:paraId="67CC1CC7" w14:textId="49AB09A6" w:rsidR="00366398" w:rsidRPr="00E02073" w:rsidRDefault="00366398" w:rsidP="00366398">
      <w:pPr>
        <w:jc w:val="both"/>
        <w:rPr>
          <w:lang w:eastAsia="en-US"/>
        </w:rPr>
      </w:pPr>
      <w:r w:rsidRPr="00E02073">
        <w:rPr>
          <w:lang w:eastAsia="en-US"/>
        </w:rPr>
        <w:lastRenderedPageBreak/>
        <w:t>It is evaluated by means of an S21 measurement between the PW</w:t>
      </w:r>
      <w:r w:rsidR="008F1055">
        <w:rPr>
          <w:lang w:eastAsia="en-US"/>
        </w:rPr>
        <w:t>S</w:t>
      </w:r>
      <w:r w:rsidRPr="00E02073">
        <w:rPr>
          <w:lang w:eastAsia="en-US"/>
        </w:rPr>
        <w:t xml:space="preserve"> and the DUT or calibration antenna, where the measurement distance is varied ±35mm from the reference at 1500mm. This variation corresponds to </w:t>
      </w:r>
      <m:oMath>
        <m:r>
          <w:rPr>
            <w:rFonts w:ascii="Cambria Math" w:hAnsi="Cambria Math"/>
            <w:sz w:val="18"/>
            <w:lang w:eastAsia="en-US"/>
          </w:rPr>
          <m:t>~</m:t>
        </m:r>
        <m:f>
          <m:fPr>
            <m:type m:val="skw"/>
            <m:ctrlPr>
              <w:rPr>
                <w:rFonts w:ascii="Cambria Math" w:hAnsi="Cambria Math"/>
                <w:i/>
                <w:sz w:val="18"/>
                <w:lang w:eastAsia="en-US"/>
              </w:rPr>
            </m:ctrlPr>
          </m:fPr>
          <m:num>
            <m:sSub>
              <m:sSubPr>
                <m:ctrlPr>
                  <w:rPr>
                    <w:rFonts w:ascii="Cambria Math" w:hAnsi="Cambria Math"/>
                    <w:i/>
                    <w:sz w:val="18"/>
                    <w:lang w:eastAsia="en-US"/>
                  </w:rPr>
                </m:ctrlPr>
              </m:sSubPr>
              <m:e>
                <m:r>
                  <w:rPr>
                    <w:rFonts w:ascii="Cambria Math" w:hAnsi="Cambria Math"/>
                    <w:sz w:val="18"/>
                    <w:lang w:eastAsia="en-US"/>
                  </w:rPr>
                  <m:t>λ</m:t>
                </m:r>
              </m:e>
              <m:sub>
                <m:r>
                  <w:rPr>
                    <w:rFonts w:ascii="Cambria Math" w:hAnsi="Cambria Math"/>
                    <w:sz w:val="18"/>
                    <w:lang w:eastAsia="en-US"/>
                  </w:rPr>
                  <m:t>0</m:t>
                </m:r>
              </m:sub>
            </m:sSub>
          </m:num>
          <m:den>
            <m:r>
              <w:rPr>
                <w:rFonts w:ascii="Cambria Math" w:hAnsi="Cambria Math"/>
                <w:sz w:val="18"/>
                <w:lang w:eastAsia="en-US"/>
              </w:rPr>
              <m:t>2</m:t>
            </m:r>
          </m:den>
        </m:f>
      </m:oMath>
      <w:r w:rsidRPr="00E02073">
        <w:rPr>
          <w:lang w:eastAsia="en-US"/>
        </w:rPr>
        <w:t xml:space="preserve"> for the lowest frequency range (i.e. 2300 MHz).</w:t>
      </w:r>
    </w:p>
    <w:p w14:paraId="1C78FD00" w14:textId="77777777" w:rsidR="00366398" w:rsidRPr="00E02073" w:rsidRDefault="00366398" w:rsidP="00366398">
      <w:pPr>
        <w:jc w:val="both"/>
      </w:pPr>
      <w:r w:rsidRPr="00E02073">
        <w:t>The maximum coupling deviation for each center frequency is calculated as follows, assuming a rectangular distribution:</w:t>
      </w:r>
    </w:p>
    <w:p w14:paraId="688EA265" w14:textId="77777777" w:rsidR="00366398" w:rsidRPr="00E02073" w:rsidRDefault="00366398" w:rsidP="00366398">
      <w:pPr>
        <w:jc w:val="both"/>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c,m</m:t>
                  </m:r>
                </m:sub>
              </m:sSub>
            </m:e>
          </m:d>
          <m: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d</m:t>
                      </m:r>
                    </m:e>
                    <m:sub>
                      <m:r>
                        <w:rPr>
                          <w:rFonts w:ascii="Cambria Math" w:hAnsi="Cambria Math"/>
                        </w:rPr>
                        <m:t>i</m:t>
                      </m:r>
                    </m:sub>
                  </m:sSub>
                </m:lim>
              </m:limLow>
            </m:fName>
            <m:e>
              <m:d>
                <m:dPr>
                  <m:begChr m:val="|"/>
                  <m:endChr m:val="|"/>
                  <m:ctrlPr>
                    <w:rPr>
                      <w:rFonts w:ascii="Cambria Math" w:hAnsi="Cambria Math"/>
                      <w:i/>
                    </w:rPr>
                  </m:ctrlPr>
                </m:dPr>
                <m:e>
                  <m:r>
                    <w:rPr>
                      <w:rFonts w:ascii="Cambria Math" w:hAnsi="Cambria Math"/>
                    </w:rPr>
                    <m:t>20</m:t>
                  </m:r>
                  <m:func>
                    <m:funcPr>
                      <m:ctrlPr>
                        <w:rPr>
                          <w:rFonts w:ascii="Cambria Math" w:hAnsi="Cambria Math"/>
                          <w:i/>
                        </w:rPr>
                      </m:ctrlPr>
                    </m:funcPr>
                    <m:fName>
                      <m:r>
                        <m:rPr>
                          <m:sty m:val="p"/>
                        </m:rPr>
                        <w:rPr>
                          <w:rFonts w:ascii="Cambria Math" w:hAnsi="Cambria Math"/>
                        </w:rPr>
                        <m:t>log</m:t>
                      </m:r>
                    </m:fName>
                    <m:e>
                      <m:f>
                        <m:fPr>
                          <m:ctrlPr>
                            <w:rPr>
                              <w:rFonts w:ascii="Cambria Math" w:hAnsi="Cambria Math"/>
                              <w:i/>
                            </w:rPr>
                          </m:ctrlPr>
                        </m:fPr>
                        <m:num>
                          <m:r>
                            <w:rPr>
                              <w:rFonts w:ascii="Cambria Math" w:hAnsi="Cambria Math"/>
                            </w:rPr>
                            <m:t>S21</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m:t>
                                  </m:r>
                                </m:sub>
                              </m:sSub>
                            </m:e>
                          </m:d>
                        </m:num>
                        <m:den>
                          <m:r>
                            <w:rPr>
                              <w:rFonts w:ascii="Cambria Math" w:hAnsi="Cambria Math"/>
                            </w:rPr>
                            <m:t>S21</m:t>
                          </m:r>
                          <m:d>
                            <m:dPr>
                              <m:ctrlPr>
                                <w:rPr>
                                  <w:rFonts w:ascii="Cambria Math" w:hAnsi="Cambria Math"/>
                                  <w:i/>
                                </w:rPr>
                              </m:ctrlPr>
                            </m:dPr>
                            <m:e>
                              <m:r>
                                <w:rPr>
                                  <w:rFonts w:ascii="Cambria Math" w:hAnsi="Cambria Math"/>
                                </w:rPr>
                                <m:t>1500,</m:t>
                              </m:r>
                              <m:sSub>
                                <m:sSubPr>
                                  <m:ctrlPr>
                                    <w:rPr>
                                      <w:rFonts w:ascii="Cambria Math" w:hAnsi="Cambria Math"/>
                                      <w:i/>
                                    </w:rPr>
                                  </m:ctrlPr>
                                </m:sSubPr>
                                <m:e>
                                  <m:r>
                                    <w:rPr>
                                      <w:rFonts w:ascii="Cambria Math" w:hAnsi="Cambria Math"/>
                                    </w:rPr>
                                    <m:t>f</m:t>
                                  </m:r>
                                </m:e>
                                <m:sub>
                                  <m:r>
                                    <w:rPr>
                                      <w:rFonts w:ascii="Cambria Math" w:hAnsi="Cambria Math"/>
                                    </w:rPr>
                                    <m:t>c,m</m:t>
                                  </m:r>
                                </m:sub>
                              </m:sSub>
                            </m:e>
                          </m:d>
                        </m:den>
                      </m:f>
                    </m:e>
                  </m:func>
                </m:e>
              </m:d>
            </m:e>
          </m:func>
        </m:oMath>
      </m:oMathPara>
    </w:p>
    <w:tbl>
      <w:tblPr>
        <w:tblW w:w="5000" w:type="pct"/>
        <w:tblLayout w:type="fixed"/>
        <w:tblLook w:val="04A0" w:firstRow="1" w:lastRow="0" w:firstColumn="1" w:lastColumn="0" w:noHBand="0" w:noVBand="1"/>
      </w:tblPr>
      <w:tblGrid>
        <w:gridCol w:w="846"/>
        <w:gridCol w:w="2977"/>
        <w:gridCol w:w="851"/>
        <w:gridCol w:w="849"/>
        <w:gridCol w:w="1136"/>
        <w:gridCol w:w="992"/>
        <w:gridCol w:w="780"/>
        <w:gridCol w:w="924"/>
      </w:tblGrid>
      <w:tr w:rsidR="008F1055" w:rsidRPr="00E02073" w14:paraId="25D2E516" w14:textId="77777777" w:rsidTr="008F1055">
        <w:trPr>
          <w:trHeight w:val="510"/>
        </w:trPr>
        <w:tc>
          <w:tcPr>
            <w:tcW w:w="452" w:type="pct"/>
            <w:tcBorders>
              <w:top w:val="single" w:sz="4" w:space="0" w:color="95B3D7"/>
              <w:left w:val="single" w:sz="4" w:space="0" w:color="95B3D7"/>
              <w:bottom w:val="single" w:sz="4" w:space="0" w:color="95B3D7"/>
              <w:right w:val="nil"/>
            </w:tcBorders>
            <w:shd w:val="clear" w:color="000000" w:fill="4F81BD"/>
            <w:vAlign w:val="center"/>
          </w:tcPr>
          <w:p w14:paraId="42F8DBC7" w14:textId="77777777" w:rsidR="008F1055" w:rsidRPr="00E02073" w:rsidRDefault="008F1055" w:rsidP="00315225">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591" w:type="pct"/>
            <w:tcBorders>
              <w:top w:val="single" w:sz="4" w:space="0" w:color="95B3D7"/>
              <w:left w:val="single" w:sz="4" w:space="0" w:color="95B3D7"/>
              <w:bottom w:val="single" w:sz="4" w:space="0" w:color="95B3D7"/>
              <w:right w:val="nil"/>
            </w:tcBorders>
            <w:shd w:val="clear" w:color="000000" w:fill="4F81BD"/>
            <w:noWrap/>
            <w:vAlign w:val="center"/>
            <w:hideMark/>
          </w:tcPr>
          <w:p w14:paraId="60142806" w14:textId="77777777" w:rsidR="008F1055" w:rsidRPr="00E02073" w:rsidRDefault="008F1055" w:rsidP="00315225">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455" w:type="pct"/>
            <w:tcBorders>
              <w:top w:val="single" w:sz="4" w:space="0" w:color="95B3D7"/>
              <w:left w:val="nil"/>
              <w:bottom w:val="single" w:sz="4" w:space="0" w:color="95B3D7"/>
              <w:right w:val="nil"/>
            </w:tcBorders>
            <w:shd w:val="clear" w:color="000000" w:fill="4F81BD"/>
            <w:vAlign w:val="center"/>
            <w:hideMark/>
          </w:tcPr>
          <w:p w14:paraId="25999A74" w14:textId="2824F63A" w:rsidR="008F1055" w:rsidRPr="00E02073" w:rsidRDefault="008F1055" w:rsidP="008F1055">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c>
          <w:tcPr>
            <w:tcW w:w="454" w:type="pct"/>
            <w:tcBorders>
              <w:top w:val="single" w:sz="4" w:space="0" w:color="95B3D7"/>
              <w:left w:val="nil"/>
              <w:bottom w:val="single" w:sz="4" w:space="0" w:color="95B3D7"/>
              <w:right w:val="nil"/>
            </w:tcBorders>
            <w:shd w:val="clear" w:color="000000" w:fill="4F81BD"/>
            <w:noWrap/>
            <w:vAlign w:val="center"/>
            <w:hideMark/>
          </w:tcPr>
          <w:p w14:paraId="10C70F90" w14:textId="77777777" w:rsidR="008F1055" w:rsidRPr="00E02073" w:rsidRDefault="008F1055" w:rsidP="00315225">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7" w:type="pct"/>
            <w:tcBorders>
              <w:top w:val="single" w:sz="4" w:space="0" w:color="95B3D7"/>
              <w:left w:val="nil"/>
              <w:bottom w:val="single" w:sz="4" w:space="0" w:color="95B3D7"/>
              <w:right w:val="nil"/>
            </w:tcBorders>
            <w:shd w:val="clear" w:color="000000" w:fill="4F81BD"/>
            <w:noWrap/>
            <w:vAlign w:val="center"/>
            <w:hideMark/>
          </w:tcPr>
          <w:p w14:paraId="3FACCAC0" w14:textId="77777777" w:rsidR="008F1055" w:rsidRPr="00E02073" w:rsidRDefault="008F1055" w:rsidP="00315225">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530" w:type="pct"/>
            <w:tcBorders>
              <w:top w:val="single" w:sz="4" w:space="0" w:color="95B3D7"/>
              <w:left w:val="nil"/>
              <w:bottom w:val="single" w:sz="4" w:space="0" w:color="95B3D7"/>
              <w:right w:val="nil"/>
            </w:tcBorders>
            <w:shd w:val="clear" w:color="000000" w:fill="4F81BD"/>
            <w:noWrap/>
            <w:vAlign w:val="center"/>
            <w:hideMark/>
          </w:tcPr>
          <w:p w14:paraId="62EAED82" w14:textId="77777777" w:rsidR="008F1055" w:rsidRPr="00E02073" w:rsidRDefault="008F1055" w:rsidP="00315225">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9A6722F" w14:textId="77777777" w:rsidR="008F1055" w:rsidRPr="00E02073" w:rsidRDefault="008F1055" w:rsidP="00315225">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94" w:type="pct"/>
            <w:tcBorders>
              <w:top w:val="single" w:sz="4" w:space="0" w:color="95B3D7"/>
              <w:left w:val="nil"/>
              <w:bottom w:val="single" w:sz="4" w:space="0" w:color="95B3D7"/>
              <w:right w:val="nil"/>
            </w:tcBorders>
            <w:shd w:val="clear" w:color="000000" w:fill="4F81BD"/>
            <w:vAlign w:val="center"/>
            <w:hideMark/>
          </w:tcPr>
          <w:p w14:paraId="4D934535" w14:textId="532DDAD0" w:rsidR="008F1055" w:rsidRPr="00E02073" w:rsidRDefault="008F1055" w:rsidP="008F1055">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r>
      <w:tr w:rsidR="008F1055" w:rsidRPr="00E02073" w14:paraId="101AC8A3" w14:textId="77777777" w:rsidTr="008F1055">
        <w:trPr>
          <w:trHeight w:val="255"/>
        </w:trPr>
        <w:tc>
          <w:tcPr>
            <w:tcW w:w="452" w:type="pct"/>
            <w:tcBorders>
              <w:top w:val="single" w:sz="4" w:space="0" w:color="95B3D7"/>
              <w:left w:val="single" w:sz="4" w:space="0" w:color="95B3D7"/>
              <w:bottom w:val="single" w:sz="4" w:space="0" w:color="95B3D7"/>
              <w:right w:val="nil"/>
            </w:tcBorders>
            <w:shd w:val="clear" w:color="DCE6F1" w:fill="DCE6F1"/>
            <w:vAlign w:val="center"/>
          </w:tcPr>
          <w:p w14:paraId="26AB46E0" w14:textId="2EE9DA54" w:rsidR="008F1055" w:rsidRPr="00E02073" w:rsidRDefault="008F1055" w:rsidP="008F1055">
            <w:pPr>
              <w:spacing w:after="0" w:line="240" w:lineRule="auto"/>
              <w:jc w:val="center"/>
              <w:rPr>
                <w:color w:val="000000"/>
                <w:sz w:val="16"/>
                <w:szCs w:val="16"/>
              </w:rPr>
            </w:pPr>
            <w:r>
              <w:rPr>
                <w:color w:val="000000"/>
                <w:sz w:val="16"/>
                <w:szCs w:val="16"/>
              </w:rPr>
              <w:t>A7-2a</w:t>
            </w:r>
          </w:p>
        </w:tc>
        <w:tc>
          <w:tcPr>
            <w:tcW w:w="1591" w:type="pct"/>
            <w:tcBorders>
              <w:top w:val="single" w:sz="4" w:space="0" w:color="95B3D7"/>
              <w:left w:val="single" w:sz="4" w:space="0" w:color="95B3D7"/>
              <w:bottom w:val="single" w:sz="4" w:space="0" w:color="95B3D7"/>
              <w:right w:val="nil"/>
            </w:tcBorders>
            <w:shd w:val="clear" w:color="DCE6F1" w:fill="DCE6F1"/>
            <w:noWrap/>
            <w:vAlign w:val="center"/>
            <w:hideMark/>
          </w:tcPr>
          <w:p w14:paraId="13CAB69A" w14:textId="77777777" w:rsidR="008F1055" w:rsidRPr="00E02073" w:rsidRDefault="008F1055" w:rsidP="00315225">
            <w:pPr>
              <w:spacing w:after="0" w:line="240" w:lineRule="auto"/>
              <w:rPr>
                <w:color w:val="000000"/>
                <w:sz w:val="16"/>
                <w:szCs w:val="16"/>
              </w:rPr>
            </w:pPr>
            <w:r w:rsidRPr="00E02073">
              <w:rPr>
                <w:rFonts w:eastAsia="Times New Roman"/>
                <w:sz w:val="16"/>
                <w:szCs w:val="16"/>
                <w:lang w:eastAsia="en-US"/>
              </w:rPr>
              <w:t>Longitudinal position uncertainty (i.e. standing wave and imperfect field synthesis) for DUT antenna</w:t>
            </w:r>
          </w:p>
        </w:tc>
        <w:tc>
          <w:tcPr>
            <w:tcW w:w="455" w:type="pct"/>
            <w:tcBorders>
              <w:top w:val="single" w:sz="4" w:space="0" w:color="95B3D7"/>
              <w:left w:val="nil"/>
              <w:bottom w:val="single" w:sz="4" w:space="0" w:color="95B3D7"/>
              <w:right w:val="nil"/>
            </w:tcBorders>
            <w:shd w:val="clear" w:color="DCE6F1" w:fill="DCE6F1"/>
            <w:noWrap/>
            <w:vAlign w:val="center"/>
            <w:hideMark/>
          </w:tcPr>
          <w:p w14:paraId="426C9A92" w14:textId="0F3BEEE6" w:rsidR="008F1055" w:rsidRPr="00E02073" w:rsidRDefault="008F1055" w:rsidP="008F1055">
            <w:pPr>
              <w:spacing w:after="0" w:line="240" w:lineRule="auto"/>
              <w:jc w:val="center"/>
              <w:rPr>
                <w:rFonts w:eastAsia="Times New Roman"/>
                <w:sz w:val="16"/>
                <w:szCs w:val="16"/>
                <w:lang w:eastAsia="en-US"/>
              </w:rPr>
            </w:pPr>
            <w:r w:rsidRPr="00E02073">
              <w:rPr>
                <w:rFonts w:eastAsia="Times New Roman"/>
                <w:sz w:val="16"/>
                <w:szCs w:val="16"/>
                <w:lang w:eastAsia="en-US"/>
              </w:rPr>
              <w:t>0.</w:t>
            </w:r>
            <w:r>
              <w:rPr>
                <w:rFonts w:eastAsia="Times New Roman"/>
                <w:sz w:val="16"/>
                <w:szCs w:val="16"/>
                <w:lang w:eastAsia="en-US"/>
              </w:rPr>
              <w:t>20</w:t>
            </w:r>
          </w:p>
        </w:tc>
        <w:tc>
          <w:tcPr>
            <w:tcW w:w="454" w:type="pct"/>
            <w:tcBorders>
              <w:top w:val="single" w:sz="4" w:space="0" w:color="95B3D7"/>
              <w:left w:val="nil"/>
              <w:bottom w:val="single" w:sz="4" w:space="0" w:color="95B3D7"/>
              <w:right w:val="nil"/>
            </w:tcBorders>
            <w:shd w:val="clear" w:color="DCE6F1" w:fill="DCE6F1"/>
            <w:noWrap/>
            <w:vAlign w:val="center"/>
            <w:hideMark/>
          </w:tcPr>
          <w:p w14:paraId="5B72B3FF" w14:textId="77777777" w:rsidR="008F1055" w:rsidRPr="00E02073" w:rsidRDefault="008F1055" w:rsidP="00315225">
            <w:pPr>
              <w:spacing w:after="0" w:line="240" w:lineRule="auto"/>
              <w:jc w:val="center"/>
              <w:rPr>
                <w:rFonts w:eastAsia="Times New Roman"/>
                <w:color w:val="000000"/>
                <w:sz w:val="16"/>
                <w:szCs w:val="16"/>
              </w:rPr>
            </w:pPr>
            <w:r w:rsidRPr="00E02073">
              <w:rPr>
                <w:color w:val="000000"/>
                <w:sz w:val="16"/>
                <w:szCs w:val="16"/>
              </w:rPr>
              <w:t>dB</w:t>
            </w:r>
          </w:p>
        </w:tc>
        <w:tc>
          <w:tcPr>
            <w:tcW w:w="607" w:type="pct"/>
            <w:tcBorders>
              <w:top w:val="single" w:sz="4" w:space="0" w:color="95B3D7"/>
              <w:left w:val="nil"/>
              <w:bottom w:val="single" w:sz="4" w:space="0" w:color="95B3D7"/>
              <w:right w:val="nil"/>
            </w:tcBorders>
            <w:shd w:val="clear" w:color="DCE6F1" w:fill="DCE6F1"/>
            <w:noWrap/>
            <w:vAlign w:val="center"/>
            <w:hideMark/>
          </w:tcPr>
          <w:p w14:paraId="5A70191F" w14:textId="77777777" w:rsidR="008F1055" w:rsidRPr="00E02073" w:rsidRDefault="008F1055" w:rsidP="00315225">
            <w:pPr>
              <w:spacing w:after="0" w:line="240" w:lineRule="auto"/>
              <w:jc w:val="center"/>
              <w:rPr>
                <w:rFonts w:eastAsia="Times New Roman"/>
                <w:color w:val="000000"/>
                <w:sz w:val="16"/>
                <w:szCs w:val="16"/>
              </w:rPr>
            </w:pPr>
            <w:r w:rsidRPr="00E02073">
              <w:rPr>
                <w:rFonts w:eastAsia="Times New Roman"/>
                <w:sz w:val="16"/>
                <w:szCs w:val="16"/>
                <w:lang w:eastAsia="en-US"/>
              </w:rPr>
              <w:t>Rectangular</w:t>
            </w:r>
          </w:p>
        </w:tc>
        <w:tc>
          <w:tcPr>
            <w:tcW w:w="530" w:type="pct"/>
            <w:tcBorders>
              <w:top w:val="single" w:sz="4" w:space="0" w:color="95B3D7"/>
              <w:left w:val="nil"/>
              <w:bottom w:val="single" w:sz="4" w:space="0" w:color="95B3D7"/>
              <w:right w:val="nil"/>
            </w:tcBorders>
            <w:shd w:val="clear" w:color="DCE6F1" w:fill="DCE6F1"/>
            <w:noWrap/>
            <w:vAlign w:val="center"/>
            <w:hideMark/>
          </w:tcPr>
          <w:p w14:paraId="1980B226" w14:textId="77777777" w:rsidR="008F1055" w:rsidRPr="00E02073" w:rsidRDefault="008F1055" w:rsidP="00315225">
            <w:pPr>
              <w:spacing w:after="0" w:line="240" w:lineRule="auto"/>
              <w:jc w:val="center"/>
              <w:rPr>
                <w:rFonts w:eastAsia="Times New Roman"/>
                <w:color w:val="000000"/>
                <w:sz w:val="16"/>
                <w:szCs w:val="16"/>
              </w:rPr>
            </w:pPr>
            <w:r w:rsidRPr="00E02073">
              <w:rPr>
                <w:rFonts w:eastAsia="Times New Roman"/>
                <w:sz w:val="16"/>
                <w:szCs w:val="16"/>
                <w:lang w:eastAsia="en-US"/>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793F2741" w14:textId="77777777" w:rsidR="008F1055" w:rsidRPr="00E02073" w:rsidRDefault="008F1055" w:rsidP="00315225">
            <w:pPr>
              <w:spacing w:after="0" w:line="240" w:lineRule="auto"/>
              <w:jc w:val="center"/>
              <w:rPr>
                <w:rFonts w:eastAsia="Times New Roman"/>
                <w:color w:val="000000"/>
                <w:sz w:val="16"/>
                <w:szCs w:val="16"/>
              </w:rPr>
            </w:pPr>
            <w:r w:rsidRPr="00E02073">
              <w:rPr>
                <w:color w:val="000000"/>
                <w:sz w:val="16"/>
                <w:szCs w:val="16"/>
              </w:rPr>
              <w:t>1</w:t>
            </w:r>
          </w:p>
        </w:tc>
        <w:tc>
          <w:tcPr>
            <w:tcW w:w="494" w:type="pct"/>
            <w:tcBorders>
              <w:top w:val="single" w:sz="4" w:space="0" w:color="95B3D7"/>
              <w:left w:val="nil"/>
              <w:bottom w:val="single" w:sz="4" w:space="0" w:color="95B3D7"/>
              <w:right w:val="nil"/>
            </w:tcBorders>
            <w:shd w:val="clear" w:color="DCE6F1" w:fill="DCE6F1"/>
            <w:noWrap/>
            <w:vAlign w:val="center"/>
            <w:hideMark/>
          </w:tcPr>
          <w:p w14:paraId="3D5C1191" w14:textId="670A698E" w:rsidR="008F1055" w:rsidRPr="00E02073" w:rsidRDefault="008F1055" w:rsidP="008F1055">
            <w:pPr>
              <w:spacing w:after="0" w:line="240" w:lineRule="auto"/>
              <w:jc w:val="center"/>
              <w:rPr>
                <w:color w:val="000000"/>
                <w:sz w:val="16"/>
                <w:szCs w:val="16"/>
              </w:rPr>
            </w:pPr>
            <w:r w:rsidRPr="00E02073">
              <w:rPr>
                <w:color w:val="000000"/>
                <w:sz w:val="16"/>
                <w:szCs w:val="16"/>
              </w:rPr>
              <w:t>0.</w:t>
            </w:r>
            <w:r>
              <w:rPr>
                <w:color w:val="000000"/>
                <w:sz w:val="16"/>
                <w:szCs w:val="16"/>
              </w:rPr>
              <w:t>12</w:t>
            </w:r>
          </w:p>
        </w:tc>
      </w:tr>
      <w:tr w:rsidR="008F1055" w:rsidRPr="00E02073" w14:paraId="35CAA4C0" w14:textId="77777777" w:rsidTr="008F1055">
        <w:trPr>
          <w:trHeight w:val="255"/>
        </w:trPr>
        <w:tc>
          <w:tcPr>
            <w:tcW w:w="452" w:type="pct"/>
            <w:tcBorders>
              <w:top w:val="single" w:sz="4" w:space="0" w:color="95B3D7"/>
              <w:left w:val="single" w:sz="4" w:space="0" w:color="95B3D7"/>
              <w:bottom w:val="single" w:sz="4" w:space="0" w:color="95B3D7"/>
              <w:right w:val="nil"/>
            </w:tcBorders>
            <w:shd w:val="clear" w:color="DCE6F1" w:fill="DCE6F1"/>
            <w:vAlign w:val="center"/>
          </w:tcPr>
          <w:p w14:paraId="6E8FCA56" w14:textId="5B1246A9" w:rsidR="008F1055" w:rsidRPr="00E02073" w:rsidRDefault="008F1055" w:rsidP="00315225">
            <w:pPr>
              <w:spacing w:after="0" w:line="240" w:lineRule="auto"/>
              <w:jc w:val="center"/>
              <w:rPr>
                <w:color w:val="000000"/>
                <w:sz w:val="16"/>
                <w:szCs w:val="16"/>
              </w:rPr>
            </w:pPr>
            <w:r>
              <w:rPr>
                <w:color w:val="000000"/>
                <w:sz w:val="16"/>
                <w:szCs w:val="16"/>
              </w:rPr>
              <w:t>A7-2b</w:t>
            </w:r>
          </w:p>
        </w:tc>
        <w:tc>
          <w:tcPr>
            <w:tcW w:w="1591" w:type="pct"/>
            <w:tcBorders>
              <w:top w:val="single" w:sz="4" w:space="0" w:color="95B3D7"/>
              <w:left w:val="single" w:sz="4" w:space="0" w:color="95B3D7"/>
              <w:bottom w:val="single" w:sz="4" w:space="0" w:color="95B3D7"/>
              <w:right w:val="nil"/>
            </w:tcBorders>
            <w:shd w:val="clear" w:color="DCE6F1" w:fill="DCE6F1"/>
            <w:noWrap/>
            <w:vAlign w:val="center"/>
          </w:tcPr>
          <w:p w14:paraId="1D523D21" w14:textId="77777777" w:rsidR="008F1055" w:rsidRPr="00E02073" w:rsidRDefault="008F1055" w:rsidP="00315225">
            <w:pPr>
              <w:spacing w:after="0" w:line="240" w:lineRule="auto"/>
              <w:rPr>
                <w:rFonts w:eastAsia="Times New Roman"/>
                <w:sz w:val="16"/>
                <w:szCs w:val="16"/>
                <w:lang w:eastAsia="en-US"/>
              </w:rPr>
            </w:pPr>
            <w:r w:rsidRPr="00E02073">
              <w:rPr>
                <w:rFonts w:eastAsia="Times New Roman"/>
                <w:sz w:val="16"/>
                <w:szCs w:val="16"/>
                <w:lang w:eastAsia="en-US"/>
              </w:rPr>
              <w:t>Longitudinal position uncertainty (i.e. standing wave and imperfect field synthesis) for calibration antenna</w:t>
            </w:r>
          </w:p>
        </w:tc>
        <w:tc>
          <w:tcPr>
            <w:tcW w:w="455" w:type="pct"/>
            <w:tcBorders>
              <w:top w:val="single" w:sz="4" w:space="0" w:color="95B3D7"/>
              <w:left w:val="nil"/>
              <w:bottom w:val="single" w:sz="4" w:space="0" w:color="95B3D7"/>
              <w:right w:val="nil"/>
            </w:tcBorders>
            <w:shd w:val="clear" w:color="DCE6F1" w:fill="DCE6F1"/>
            <w:noWrap/>
            <w:vAlign w:val="center"/>
          </w:tcPr>
          <w:p w14:paraId="52385384" w14:textId="64E6B44A" w:rsidR="008F1055" w:rsidRPr="00E02073" w:rsidRDefault="008F1055" w:rsidP="008F1055">
            <w:pPr>
              <w:spacing w:after="0" w:line="240" w:lineRule="auto"/>
              <w:jc w:val="center"/>
              <w:rPr>
                <w:rFonts w:eastAsia="Times New Roman"/>
                <w:sz w:val="16"/>
                <w:szCs w:val="16"/>
                <w:lang w:eastAsia="en-US"/>
              </w:rPr>
            </w:pPr>
            <w:r w:rsidRPr="00E02073">
              <w:rPr>
                <w:rFonts w:eastAsia="Times New Roman"/>
                <w:sz w:val="16"/>
                <w:szCs w:val="16"/>
                <w:lang w:eastAsia="en-US"/>
              </w:rPr>
              <w:t>0.</w:t>
            </w:r>
            <w:r>
              <w:rPr>
                <w:rFonts w:eastAsia="Times New Roman"/>
                <w:sz w:val="16"/>
                <w:szCs w:val="16"/>
                <w:lang w:eastAsia="en-US"/>
              </w:rPr>
              <w:t>15</w:t>
            </w:r>
          </w:p>
        </w:tc>
        <w:tc>
          <w:tcPr>
            <w:tcW w:w="454" w:type="pct"/>
            <w:tcBorders>
              <w:top w:val="single" w:sz="4" w:space="0" w:color="95B3D7"/>
              <w:left w:val="nil"/>
              <w:bottom w:val="single" w:sz="4" w:space="0" w:color="95B3D7"/>
              <w:right w:val="nil"/>
            </w:tcBorders>
            <w:shd w:val="clear" w:color="DCE6F1" w:fill="DCE6F1"/>
            <w:noWrap/>
            <w:vAlign w:val="center"/>
          </w:tcPr>
          <w:p w14:paraId="55E8E078" w14:textId="77777777" w:rsidR="008F1055" w:rsidRPr="00E02073" w:rsidRDefault="008F1055" w:rsidP="00315225">
            <w:pPr>
              <w:spacing w:after="0" w:line="240" w:lineRule="auto"/>
              <w:jc w:val="center"/>
              <w:rPr>
                <w:rFonts w:eastAsia="Times New Roman"/>
                <w:sz w:val="16"/>
                <w:szCs w:val="16"/>
                <w:lang w:eastAsia="en-US"/>
              </w:rPr>
            </w:pPr>
            <w:r w:rsidRPr="00E02073">
              <w:rPr>
                <w:rFonts w:eastAsia="Times New Roman"/>
                <w:sz w:val="16"/>
                <w:szCs w:val="16"/>
                <w:lang w:eastAsia="en-US"/>
              </w:rPr>
              <w:t>dB</w:t>
            </w:r>
          </w:p>
        </w:tc>
        <w:tc>
          <w:tcPr>
            <w:tcW w:w="607" w:type="pct"/>
            <w:tcBorders>
              <w:top w:val="single" w:sz="4" w:space="0" w:color="95B3D7"/>
              <w:left w:val="nil"/>
              <w:bottom w:val="single" w:sz="4" w:space="0" w:color="95B3D7"/>
              <w:right w:val="nil"/>
            </w:tcBorders>
            <w:shd w:val="clear" w:color="DCE6F1" w:fill="DCE6F1"/>
            <w:noWrap/>
            <w:vAlign w:val="center"/>
          </w:tcPr>
          <w:p w14:paraId="61F83C8D" w14:textId="77777777" w:rsidR="008F1055" w:rsidRPr="00E02073" w:rsidRDefault="008F1055" w:rsidP="00315225">
            <w:pPr>
              <w:spacing w:after="0" w:line="240" w:lineRule="auto"/>
              <w:jc w:val="center"/>
              <w:rPr>
                <w:rFonts w:eastAsia="Times New Roman"/>
                <w:sz w:val="16"/>
                <w:szCs w:val="16"/>
                <w:lang w:eastAsia="en-US"/>
              </w:rPr>
            </w:pPr>
            <w:r w:rsidRPr="00E02073">
              <w:rPr>
                <w:rFonts w:eastAsia="Times New Roman"/>
                <w:sz w:val="16"/>
                <w:szCs w:val="16"/>
                <w:lang w:eastAsia="en-US"/>
              </w:rPr>
              <w:t>Rectangular</w:t>
            </w:r>
          </w:p>
        </w:tc>
        <w:tc>
          <w:tcPr>
            <w:tcW w:w="530" w:type="pct"/>
            <w:tcBorders>
              <w:top w:val="single" w:sz="4" w:space="0" w:color="95B3D7"/>
              <w:left w:val="nil"/>
              <w:bottom w:val="single" w:sz="4" w:space="0" w:color="95B3D7"/>
              <w:right w:val="nil"/>
            </w:tcBorders>
            <w:shd w:val="clear" w:color="DCE6F1" w:fill="DCE6F1"/>
            <w:noWrap/>
            <w:vAlign w:val="center"/>
          </w:tcPr>
          <w:p w14:paraId="0B37C8B7" w14:textId="77777777" w:rsidR="008F1055" w:rsidRPr="00E02073" w:rsidRDefault="008F1055" w:rsidP="00315225">
            <w:pPr>
              <w:spacing w:after="0" w:line="240" w:lineRule="auto"/>
              <w:jc w:val="center"/>
              <w:rPr>
                <w:rFonts w:eastAsia="Times New Roman"/>
                <w:sz w:val="16"/>
                <w:szCs w:val="16"/>
                <w:lang w:eastAsia="en-US"/>
              </w:rPr>
            </w:pPr>
            <w:r w:rsidRPr="00E02073">
              <w:rPr>
                <w:rFonts w:eastAsia="Times New Roman"/>
                <w:sz w:val="16"/>
                <w:szCs w:val="16"/>
                <w:lang w:eastAsia="en-US"/>
              </w:rPr>
              <w:t>√3</w:t>
            </w:r>
          </w:p>
        </w:tc>
        <w:tc>
          <w:tcPr>
            <w:tcW w:w="417" w:type="pct"/>
            <w:tcBorders>
              <w:top w:val="single" w:sz="4" w:space="0" w:color="95B3D7"/>
              <w:left w:val="nil"/>
              <w:bottom w:val="single" w:sz="4" w:space="0" w:color="95B3D7"/>
              <w:right w:val="nil"/>
            </w:tcBorders>
            <w:shd w:val="clear" w:color="DCE6F1" w:fill="DCE6F1"/>
            <w:noWrap/>
            <w:vAlign w:val="center"/>
          </w:tcPr>
          <w:p w14:paraId="761BBFA3" w14:textId="77777777" w:rsidR="008F1055" w:rsidRPr="00E02073" w:rsidRDefault="008F1055" w:rsidP="00315225">
            <w:pPr>
              <w:spacing w:after="0" w:line="240" w:lineRule="auto"/>
              <w:jc w:val="center"/>
              <w:rPr>
                <w:rFonts w:eastAsia="Times New Roman"/>
                <w:sz w:val="16"/>
                <w:szCs w:val="16"/>
                <w:lang w:eastAsia="en-US"/>
              </w:rPr>
            </w:pPr>
            <w:r w:rsidRPr="00E02073">
              <w:rPr>
                <w:rFonts w:eastAsia="Times New Roman"/>
                <w:sz w:val="16"/>
                <w:szCs w:val="16"/>
                <w:lang w:eastAsia="en-US"/>
              </w:rPr>
              <w:t>1</w:t>
            </w:r>
          </w:p>
        </w:tc>
        <w:tc>
          <w:tcPr>
            <w:tcW w:w="494" w:type="pct"/>
            <w:tcBorders>
              <w:top w:val="single" w:sz="4" w:space="0" w:color="95B3D7"/>
              <w:left w:val="nil"/>
              <w:bottom w:val="single" w:sz="4" w:space="0" w:color="95B3D7"/>
              <w:right w:val="nil"/>
            </w:tcBorders>
            <w:shd w:val="clear" w:color="DCE6F1" w:fill="DCE6F1"/>
            <w:noWrap/>
            <w:vAlign w:val="center"/>
          </w:tcPr>
          <w:p w14:paraId="3C878373" w14:textId="63361A15" w:rsidR="008F1055" w:rsidRPr="00E02073" w:rsidRDefault="008F1055" w:rsidP="008F1055">
            <w:pPr>
              <w:spacing w:after="0" w:line="240" w:lineRule="auto"/>
              <w:jc w:val="center"/>
              <w:rPr>
                <w:color w:val="000000"/>
                <w:sz w:val="16"/>
                <w:szCs w:val="16"/>
              </w:rPr>
            </w:pPr>
            <w:r w:rsidRPr="00E02073">
              <w:rPr>
                <w:color w:val="000000"/>
                <w:sz w:val="16"/>
                <w:szCs w:val="16"/>
              </w:rPr>
              <w:t>0.</w:t>
            </w:r>
            <w:r>
              <w:rPr>
                <w:color w:val="000000"/>
                <w:sz w:val="16"/>
                <w:szCs w:val="16"/>
              </w:rPr>
              <w:t>09</w:t>
            </w:r>
          </w:p>
        </w:tc>
      </w:tr>
    </w:tbl>
    <w:p w14:paraId="6BC7AACD" w14:textId="7A6D0CCD" w:rsidR="005D0416" w:rsidRPr="00E02073" w:rsidRDefault="005D0416" w:rsidP="005D0416">
      <w:pPr>
        <w:pStyle w:val="Heading2"/>
        <w:rPr>
          <w:lang w:val="en-US"/>
        </w:rPr>
      </w:pPr>
      <w:r w:rsidRPr="00E02073">
        <w:rPr>
          <w:lang w:val="en-US"/>
        </w:rPr>
        <w:t>QZ ripple with DUT/calibration antenna</w:t>
      </w:r>
    </w:p>
    <w:p w14:paraId="277CAA32" w14:textId="604EF700" w:rsidR="005D0416" w:rsidRDefault="008F1055" w:rsidP="004B5412">
      <w:pPr>
        <w:jc w:val="both"/>
        <w:rPr>
          <w:lang w:eastAsia="en-US"/>
        </w:rPr>
      </w:pPr>
      <w:r>
        <w:rPr>
          <w:lang w:eastAsia="en-US"/>
        </w:rPr>
        <w:t>Similar to what was described for lower frequencies in</w:t>
      </w:r>
      <w:r w:rsidR="00016C07">
        <w:rPr>
          <w:lang w:eastAsia="en-US"/>
        </w:rPr>
        <w:t xml:space="preserve"> </w:t>
      </w:r>
      <w:r w:rsidR="00016C07">
        <w:rPr>
          <w:lang w:eastAsia="en-US"/>
        </w:rPr>
        <w:fldChar w:fldCharType="begin"/>
      </w:r>
      <w:r w:rsidR="00016C07">
        <w:rPr>
          <w:lang w:eastAsia="en-US"/>
        </w:rPr>
        <w:instrText xml:space="preserve"> REF _Ref54375254 \r \h </w:instrText>
      </w:r>
      <w:r w:rsidR="00016C07">
        <w:rPr>
          <w:lang w:eastAsia="en-US"/>
        </w:rPr>
      </w:r>
      <w:r w:rsidR="00016C07">
        <w:rPr>
          <w:lang w:eastAsia="en-US"/>
        </w:rPr>
        <w:fldChar w:fldCharType="separate"/>
      </w:r>
      <w:r w:rsidR="00705836">
        <w:rPr>
          <w:lang w:eastAsia="en-US"/>
        </w:rPr>
        <w:t>[5]</w:t>
      </w:r>
      <w:r w:rsidR="00016C07">
        <w:rPr>
          <w:lang w:eastAsia="en-US"/>
        </w:rPr>
        <w:fldChar w:fldCharType="end"/>
      </w:r>
      <w:r>
        <w:rPr>
          <w:lang w:eastAsia="en-US"/>
        </w:rPr>
        <w:t>,</w:t>
      </w:r>
      <w:r w:rsidR="00EC69BC" w:rsidRPr="00F24EBC">
        <w:rPr>
          <w:lang w:eastAsia="en-US"/>
        </w:rPr>
        <w:t xml:space="preserve"> additional testing has been performed and the metric has been selected to evaluate the QZ amplitude ripple as per the most recent draft for IEEE Std. 14</w:t>
      </w:r>
      <w:r w:rsidR="00623664">
        <w:rPr>
          <w:lang w:eastAsia="en-US"/>
        </w:rPr>
        <w:t xml:space="preserve">9 </w:t>
      </w:r>
      <w:r w:rsidR="00623664">
        <w:rPr>
          <w:lang w:eastAsia="en-US"/>
        </w:rPr>
        <w:fldChar w:fldCharType="begin"/>
      </w:r>
      <w:r w:rsidR="00623664">
        <w:rPr>
          <w:lang w:eastAsia="en-US"/>
        </w:rPr>
        <w:instrText xml:space="preserve"> REF _Ref24037891 \r \h </w:instrText>
      </w:r>
      <w:r w:rsidR="00623664">
        <w:rPr>
          <w:lang w:eastAsia="en-US"/>
        </w:rPr>
      </w:r>
      <w:r w:rsidR="00623664">
        <w:rPr>
          <w:lang w:eastAsia="en-US"/>
        </w:rPr>
        <w:fldChar w:fldCharType="separate"/>
      </w:r>
      <w:r w:rsidR="00705836">
        <w:rPr>
          <w:lang w:eastAsia="en-US"/>
        </w:rPr>
        <w:t>[7]</w:t>
      </w:r>
      <w:r w:rsidR="00623664">
        <w:rPr>
          <w:lang w:eastAsia="en-US"/>
        </w:rPr>
        <w:fldChar w:fldCharType="end"/>
      </w:r>
      <w:r w:rsidR="00623664">
        <w:rPr>
          <w:lang w:eastAsia="en-US"/>
        </w:rPr>
        <w:t>.</w:t>
      </w:r>
    </w:p>
    <w:p w14:paraId="44621C13" w14:textId="6466E480" w:rsidR="00EC69BC" w:rsidRDefault="00EC69BC" w:rsidP="004B5412">
      <w:pPr>
        <w:jc w:val="both"/>
        <w:rPr>
          <w:lang w:eastAsia="en-US"/>
        </w:rPr>
      </w:pPr>
      <w:r>
        <w:rPr>
          <w:lang w:eastAsia="en-US"/>
        </w:rPr>
        <w:t xml:space="preserve">This amplitude ripple MU term is </w:t>
      </w:r>
      <w:r w:rsidRPr="00EC69BC">
        <w:rPr>
          <w:lang w:eastAsia="en-US"/>
        </w:rPr>
        <w:t xml:space="preserve">measured by determining the variation of amplitude about the </w:t>
      </w:r>
      <w:r w:rsidRPr="00016C07">
        <w:rPr>
          <w:lang w:eastAsia="en-US"/>
        </w:rPr>
        <w:t xml:space="preserve">2nd degree polynomial fit, reported in dB. Example of the amplitude ripple </w:t>
      </w:r>
      <w:r w:rsidR="00016C07" w:rsidRPr="00016C07">
        <w:rPr>
          <w:lang w:eastAsia="en-US"/>
        </w:rPr>
        <w:t>is</w:t>
      </w:r>
      <w:r w:rsidRPr="00016C07">
        <w:rPr>
          <w:lang w:eastAsia="en-US"/>
        </w:rPr>
        <w:t xml:space="preserve"> shown in the following figure:</w:t>
      </w:r>
    </w:p>
    <w:p w14:paraId="77A4AAAA" w14:textId="70CF103A" w:rsidR="00D628DC" w:rsidRDefault="00175A4F" w:rsidP="00D628DC">
      <w:pPr>
        <w:jc w:val="center"/>
        <w:rPr>
          <w:lang w:eastAsia="en-US"/>
        </w:rPr>
      </w:pPr>
      <w:r w:rsidRPr="00175A4F">
        <w:rPr>
          <w:noProof/>
        </w:rPr>
        <w:t xml:space="preserve"> </w:t>
      </w:r>
      <w:r>
        <w:rPr>
          <w:noProof/>
          <w:lang w:eastAsia="en-US"/>
        </w:rPr>
        <w:drawing>
          <wp:inline distT="0" distB="0" distL="0" distR="0" wp14:anchorId="402F8D6B" wp14:editId="67B3685F">
            <wp:extent cx="4664187" cy="27432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64187" cy="2743200"/>
                    </a:xfrm>
                    <a:prstGeom prst="rect">
                      <a:avLst/>
                    </a:prstGeom>
                  </pic:spPr>
                </pic:pic>
              </a:graphicData>
            </a:graphic>
          </wp:inline>
        </w:drawing>
      </w:r>
    </w:p>
    <w:p w14:paraId="6841EE26" w14:textId="616F3BA8" w:rsidR="00EC69BC" w:rsidRPr="00016C07" w:rsidRDefault="00EC69BC" w:rsidP="00EC69BC">
      <w:pPr>
        <w:spacing w:before="60" w:after="0" w:line="240" w:lineRule="auto"/>
        <w:jc w:val="center"/>
        <w:rPr>
          <w:rFonts w:eastAsia="Calibri" w:cs="Times New Roman"/>
          <w:b/>
          <w:bCs/>
          <w:sz w:val="18"/>
          <w:szCs w:val="18"/>
          <w:lang w:eastAsia="en-US"/>
        </w:rPr>
      </w:pPr>
      <w:r w:rsidRPr="00016C07">
        <w:rPr>
          <w:rFonts w:eastAsia="Calibri" w:cs="Times New Roman"/>
          <w:b/>
          <w:bCs/>
          <w:sz w:val="18"/>
          <w:szCs w:val="18"/>
          <w:lang w:eastAsia="en-US"/>
        </w:rPr>
        <w:t xml:space="preserve">Figure 3.1-1: </w:t>
      </w:r>
      <w:r w:rsidR="00D628DC" w:rsidRPr="00016C07">
        <w:rPr>
          <w:rFonts w:eastAsia="Calibri" w:cs="Times New Roman"/>
          <w:b/>
          <w:bCs/>
          <w:sz w:val="18"/>
          <w:szCs w:val="18"/>
          <w:lang w:eastAsia="en-US"/>
        </w:rPr>
        <w:t>1D amplitude ripple</w:t>
      </w:r>
      <w:r w:rsidR="000A76DA" w:rsidRPr="00016C07">
        <w:rPr>
          <w:rFonts w:eastAsia="Calibri" w:cs="Times New Roman"/>
          <w:b/>
          <w:bCs/>
          <w:sz w:val="18"/>
          <w:szCs w:val="18"/>
          <w:lang w:eastAsia="en-US"/>
        </w:rPr>
        <w:t xml:space="preserve"> is 0.22 dB</w:t>
      </w:r>
      <w:r w:rsidR="00D628DC" w:rsidRPr="00016C07">
        <w:rPr>
          <w:rFonts w:eastAsia="Calibri" w:cs="Times New Roman"/>
          <w:b/>
          <w:bCs/>
          <w:sz w:val="18"/>
          <w:szCs w:val="18"/>
          <w:lang w:eastAsia="en-US"/>
        </w:rPr>
        <w:t xml:space="preserve">; f = </w:t>
      </w:r>
      <w:r w:rsidR="000A76DA" w:rsidRPr="00016C07">
        <w:rPr>
          <w:rFonts w:eastAsia="Calibri" w:cs="Times New Roman"/>
          <w:b/>
          <w:bCs/>
          <w:sz w:val="18"/>
          <w:szCs w:val="18"/>
          <w:lang w:eastAsia="en-US"/>
        </w:rPr>
        <w:t>50</w:t>
      </w:r>
      <w:r w:rsidRPr="00016C07">
        <w:rPr>
          <w:rFonts w:eastAsia="Calibri" w:cs="Times New Roman"/>
          <w:b/>
          <w:bCs/>
          <w:sz w:val="18"/>
          <w:szCs w:val="18"/>
          <w:lang w:eastAsia="en-US"/>
        </w:rPr>
        <w:t>00 MHz</w:t>
      </w:r>
    </w:p>
    <w:p w14:paraId="20982A2B" w14:textId="77777777" w:rsidR="00EC69BC" w:rsidRPr="00016C07" w:rsidRDefault="00EC69BC" w:rsidP="004B5412">
      <w:pPr>
        <w:jc w:val="both"/>
        <w:rPr>
          <w:lang w:eastAsia="en-US"/>
        </w:rPr>
      </w:pPr>
    </w:p>
    <w:p w14:paraId="22751C0B" w14:textId="3967BB5D" w:rsidR="00EC69BC" w:rsidRDefault="00EC69BC" w:rsidP="004B5412">
      <w:pPr>
        <w:jc w:val="both"/>
        <w:rPr>
          <w:lang w:eastAsia="en-US"/>
        </w:rPr>
      </w:pPr>
      <w:r w:rsidRPr="00F24EBC">
        <w:rPr>
          <w:lang w:eastAsia="en-US"/>
        </w:rPr>
        <w:lastRenderedPageBreak/>
        <w:t>Since the field probe measurements are performed over the reference plane where the EUT is placed, there are several possible 1D curves around the axis. The worst case per frequency range among all 1D curves is selected</w:t>
      </w:r>
      <w:r w:rsidR="00F24EBC" w:rsidRPr="00F24EBC">
        <w:rPr>
          <w:lang w:eastAsia="en-US"/>
        </w:rPr>
        <w:t xml:space="preserve"> as MU value, and a rectangular distribution is assumed.</w:t>
      </w:r>
    </w:p>
    <w:tbl>
      <w:tblPr>
        <w:tblW w:w="5000" w:type="pct"/>
        <w:tblLayout w:type="fixed"/>
        <w:tblLook w:val="04A0" w:firstRow="1" w:lastRow="0" w:firstColumn="1" w:lastColumn="0" w:noHBand="0" w:noVBand="1"/>
      </w:tblPr>
      <w:tblGrid>
        <w:gridCol w:w="846"/>
        <w:gridCol w:w="2977"/>
        <w:gridCol w:w="851"/>
        <w:gridCol w:w="849"/>
        <w:gridCol w:w="1136"/>
        <w:gridCol w:w="992"/>
        <w:gridCol w:w="780"/>
        <w:gridCol w:w="924"/>
      </w:tblGrid>
      <w:tr w:rsidR="00D44287" w:rsidRPr="00E02073" w14:paraId="64AACCED" w14:textId="77777777" w:rsidTr="00830E2B">
        <w:trPr>
          <w:trHeight w:val="510"/>
        </w:trPr>
        <w:tc>
          <w:tcPr>
            <w:tcW w:w="452" w:type="pct"/>
            <w:tcBorders>
              <w:top w:val="single" w:sz="4" w:space="0" w:color="95B3D7"/>
              <w:left w:val="single" w:sz="4" w:space="0" w:color="95B3D7"/>
              <w:bottom w:val="single" w:sz="4" w:space="0" w:color="95B3D7"/>
              <w:right w:val="nil"/>
            </w:tcBorders>
            <w:shd w:val="clear" w:color="000000" w:fill="4F81BD"/>
            <w:vAlign w:val="center"/>
          </w:tcPr>
          <w:p w14:paraId="54120556"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591" w:type="pct"/>
            <w:tcBorders>
              <w:top w:val="single" w:sz="4" w:space="0" w:color="95B3D7"/>
              <w:left w:val="single" w:sz="4" w:space="0" w:color="95B3D7"/>
              <w:bottom w:val="single" w:sz="4" w:space="0" w:color="95B3D7"/>
              <w:right w:val="nil"/>
            </w:tcBorders>
            <w:shd w:val="clear" w:color="000000" w:fill="4F81BD"/>
            <w:noWrap/>
            <w:vAlign w:val="center"/>
            <w:hideMark/>
          </w:tcPr>
          <w:p w14:paraId="52639BCB" w14:textId="77777777" w:rsidR="00D44287" w:rsidRPr="00E02073" w:rsidRDefault="00D44287" w:rsidP="00830E2B">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455" w:type="pct"/>
            <w:tcBorders>
              <w:top w:val="single" w:sz="4" w:space="0" w:color="95B3D7"/>
              <w:left w:val="nil"/>
              <w:bottom w:val="single" w:sz="4" w:space="0" w:color="95B3D7"/>
              <w:right w:val="nil"/>
            </w:tcBorders>
            <w:shd w:val="clear" w:color="000000" w:fill="4F81BD"/>
            <w:vAlign w:val="center"/>
            <w:hideMark/>
          </w:tcPr>
          <w:p w14:paraId="525C95A2"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c>
          <w:tcPr>
            <w:tcW w:w="454" w:type="pct"/>
            <w:tcBorders>
              <w:top w:val="single" w:sz="4" w:space="0" w:color="95B3D7"/>
              <w:left w:val="nil"/>
              <w:bottom w:val="single" w:sz="4" w:space="0" w:color="95B3D7"/>
              <w:right w:val="nil"/>
            </w:tcBorders>
            <w:shd w:val="clear" w:color="000000" w:fill="4F81BD"/>
            <w:noWrap/>
            <w:vAlign w:val="center"/>
            <w:hideMark/>
          </w:tcPr>
          <w:p w14:paraId="44E54E5A"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7" w:type="pct"/>
            <w:tcBorders>
              <w:top w:val="single" w:sz="4" w:space="0" w:color="95B3D7"/>
              <w:left w:val="nil"/>
              <w:bottom w:val="single" w:sz="4" w:space="0" w:color="95B3D7"/>
              <w:right w:val="nil"/>
            </w:tcBorders>
            <w:shd w:val="clear" w:color="000000" w:fill="4F81BD"/>
            <w:noWrap/>
            <w:vAlign w:val="center"/>
            <w:hideMark/>
          </w:tcPr>
          <w:p w14:paraId="2BFBBF1E"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530" w:type="pct"/>
            <w:tcBorders>
              <w:top w:val="single" w:sz="4" w:space="0" w:color="95B3D7"/>
              <w:left w:val="nil"/>
              <w:bottom w:val="single" w:sz="4" w:space="0" w:color="95B3D7"/>
              <w:right w:val="nil"/>
            </w:tcBorders>
            <w:shd w:val="clear" w:color="000000" w:fill="4F81BD"/>
            <w:noWrap/>
            <w:vAlign w:val="center"/>
            <w:hideMark/>
          </w:tcPr>
          <w:p w14:paraId="73DFB55E"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83DBE53"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94" w:type="pct"/>
            <w:tcBorders>
              <w:top w:val="single" w:sz="4" w:space="0" w:color="95B3D7"/>
              <w:left w:val="nil"/>
              <w:bottom w:val="single" w:sz="4" w:space="0" w:color="95B3D7"/>
              <w:right w:val="nil"/>
            </w:tcBorders>
            <w:shd w:val="clear" w:color="000000" w:fill="4F81BD"/>
            <w:vAlign w:val="center"/>
            <w:hideMark/>
          </w:tcPr>
          <w:p w14:paraId="23BB54A4" w14:textId="77777777" w:rsidR="00D44287" w:rsidRPr="00E02073" w:rsidRDefault="00D4428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r>
      <w:tr w:rsidR="00D44287" w:rsidRPr="00E02073" w14:paraId="538708AE" w14:textId="77777777" w:rsidTr="00830E2B">
        <w:trPr>
          <w:trHeight w:val="255"/>
        </w:trPr>
        <w:tc>
          <w:tcPr>
            <w:tcW w:w="452" w:type="pct"/>
            <w:tcBorders>
              <w:top w:val="single" w:sz="4" w:space="0" w:color="95B3D7"/>
              <w:left w:val="single" w:sz="4" w:space="0" w:color="95B3D7"/>
              <w:bottom w:val="single" w:sz="4" w:space="0" w:color="95B3D7"/>
              <w:right w:val="nil"/>
            </w:tcBorders>
            <w:shd w:val="clear" w:color="DCE6F1" w:fill="DCE6F1"/>
            <w:vAlign w:val="center"/>
          </w:tcPr>
          <w:p w14:paraId="07848687" w14:textId="39F3CD23" w:rsidR="00D44287" w:rsidRPr="00E02073" w:rsidRDefault="00D44287" w:rsidP="00D44287">
            <w:pPr>
              <w:spacing w:after="0" w:line="240" w:lineRule="auto"/>
              <w:jc w:val="center"/>
              <w:rPr>
                <w:color w:val="000000"/>
                <w:sz w:val="16"/>
                <w:szCs w:val="16"/>
              </w:rPr>
            </w:pPr>
            <w:r>
              <w:rPr>
                <w:color w:val="000000"/>
                <w:sz w:val="16"/>
                <w:szCs w:val="16"/>
              </w:rPr>
              <w:t>A7-4a</w:t>
            </w:r>
          </w:p>
        </w:tc>
        <w:tc>
          <w:tcPr>
            <w:tcW w:w="1591" w:type="pct"/>
            <w:tcBorders>
              <w:top w:val="single" w:sz="4" w:space="0" w:color="95B3D7"/>
              <w:left w:val="single" w:sz="4" w:space="0" w:color="95B3D7"/>
              <w:bottom w:val="single" w:sz="4" w:space="0" w:color="95B3D7"/>
              <w:right w:val="nil"/>
            </w:tcBorders>
            <w:shd w:val="clear" w:color="DCE6F1" w:fill="DCE6F1"/>
            <w:noWrap/>
            <w:vAlign w:val="center"/>
            <w:hideMark/>
          </w:tcPr>
          <w:p w14:paraId="0229A823" w14:textId="0AD53185" w:rsidR="00D44287" w:rsidRPr="00E02073" w:rsidRDefault="00D44287" w:rsidP="00D44287">
            <w:pPr>
              <w:spacing w:after="0" w:line="240" w:lineRule="auto"/>
              <w:rPr>
                <w:color w:val="000000"/>
                <w:sz w:val="16"/>
                <w:szCs w:val="16"/>
              </w:rPr>
            </w:pPr>
            <w:r w:rsidRPr="00260358">
              <w:rPr>
                <w:rFonts w:eastAsia="Times New Roman"/>
                <w:sz w:val="16"/>
                <w:szCs w:val="16"/>
                <w:lang w:eastAsia="en-US"/>
              </w:rPr>
              <w:t>Normalized QZ ripple with DUT</w:t>
            </w:r>
          </w:p>
        </w:tc>
        <w:tc>
          <w:tcPr>
            <w:tcW w:w="455" w:type="pct"/>
            <w:tcBorders>
              <w:top w:val="single" w:sz="4" w:space="0" w:color="95B3D7"/>
              <w:left w:val="nil"/>
              <w:bottom w:val="single" w:sz="4" w:space="0" w:color="95B3D7"/>
              <w:right w:val="nil"/>
            </w:tcBorders>
            <w:shd w:val="clear" w:color="DCE6F1" w:fill="DCE6F1"/>
            <w:noWrap/>
            <w:vAlign w:val="center"/>
            <w:hideMark/>
          </w:tcPr>
          <w:p w14:paraId="1323F7F2" w14:textId="7039563C" w:rsidR="00D44287" w:rsidRPr="00E02073" w:rsidRDefault="00D44287" w:rsidP="00D44287">
            <w:pPr>
              <w:spacing w:after="0" w:line="240" w:lineRule="auto"/>
              <w:jc w:val="center"/>
              <w:rPr>
                <w:rFonts w:eastAsia="Times New Roman"/>
                <w:sz w:val="16"/>
                <w:szCs w:val="16"/>
                <w:lang w:eastAsia="en-US"/>
              </w:rPr>
            </w:pPr>
            <w:r w:rsidRPr="00E02073">
              <w:rPr>
                <w:rFonts w:eastAsia="Times New Roman"/>
                <w:sz w:val="16"/>
                <w:szCs w:val="16"/>
                <w:lang w:eastAsia="en-US"/>
              </w:rPr>
              <w:t>0.</w:t>
            </w:r>
            <w:r>
              <w:rPr>
                <w:rFonts w:eastAsia="Times New Roman"/>
                <w:sz w:val="16"/>
                <w:szCs w:val="16"/>
                <w:lang w:eastAsia="en-US"/>
              </w:rPr>
              <w:t>57</w:t>
            </w:r>
          </w:p>
        </w:tc>
        <w:tc>
          <w:tcPr>
            <w:tcW w:w="454" w:type="pct"/>
            <w:tcBorders>
              <w:top w:val="single" w:sz="4" w:space="0" w:color="95B3D7"/>
              <w:left w:val="nil"/>
              <w:bottom w:val="single" w:sz="4" w:space="0" w:color="95B3D7"/>
              <w:right w:val="nil"/>
            </w:tcBorders>
            <w:shd w:val="clear" w:color="DCE6F1" w:fill="DCE6F1"/>
            <w:noWrap/>
            <w:vAlign w:val="center"/>
            <w:hideMark/>
          </w:tcPr>
          <w:p w14:paraId="65EBBF5A" w14:textId="77777777" w:rsidR="00D44287" w:rsidRPr="00E02073" w:rsidRDefault="00D44287" w:rsidP="00D44287">
            <w:pPr>
              <w:spacing w:after="0" w:line="240" w:lineRule="auto"/>
              <w:jc w:val="center"/>
              <w:rPr>
                <w:rFonts w:eastAsia="Times New Roman"/>
                <w:color w:val="000000"/>
                <w:sz w:val="16"/>
                <w:szCs w:val="16"/>
              </w:rPr>
            </w:pPr>
            <w:r w:rsidRPr="00E02073">
              <w:rPr>
                <w:color w:val="000000"/>
                <w:sz w:val="16"/>
                <w:szCs w:val="16"/>
              </w:rPr>
              <w:t>dB</w:t>
            </w:r>
          </w:p>
        </w:tc>
        <w:tc>
          <w:tcPr>
            <w:tcW w:w="607" w:type="pct"/>
            <w:tcBorders>
              <w:top w:val="single" w:sz="4" w:space="0" w:color="95B3D7"/>
              <w:left w:val="nil"/>
              <w:bottom w:val="single" w:sz="4" w:space="0" w:color="95B3D7"/>
              <w:right w:val="nil"/>
            </w:tcBorders>
            <w:shd w:val="clear" w:color="DCE6F1" w:fill="DCE6F1"/>
            <w:noWrap/>
            <w:vAlign w:val="center"/>
            <w:hideMark/>
          </w:tcPr>
          <w:p w14:paraId="2018D8A2" w14:textId="77777777" w:rsidR="00D44287" w:rsidRPr="00E02073" w:rsidRDefault="00D44287" w:rsidP="00D44287">
            <w:pPr>
              <w:spacing w:after="0" w:line="240" w:lineRule="auto"/>
              <w:jc w:val="center"/>
              <w:rPr>
                <w:rFonts w:eastAsia="Times New Roman"/>
                <w:color w:val="000000"/>
                <w:sz w:val="16"/>
                <w:szCs w:val="16"/>
              </w:rPr>
            </w:pPr>
            <w:r w:rsidRPr="00E02073">
              <w:rPr>
                <w:rFonts w:eastAsia="Times New Roman"/>
                <w:sz w:val="16"/>
                <w:szCs w:val="16"/>
                <w:lang w:eastAsia="en-US"/>
              </w:rPr>
              <w:t>Rectangular</w:t>
            </w:r>
          </w:p>
        </w:tc>
        <w:tc>
          <w:tcPr>
            <w:tcW w:w="530" w:type="pct"/>
            <w:tcBorders>
              <w:top w:val="single" w:sz="4" w:space="0" w:color="95B3D7"/>
              <w:left w:val="nil"/>
              <w:bottom w:val="single" w:sz="4" w:space="0" w:color="95B3D7"/>
              <w:right w:val="nil"/>
            </w:tcBorders>
            <w:shd w:val="clear" w:color="DCE6F1" w:fill="DCE6F1"/>
            <w:noWrap/>
            <w:vAlign w:val="center"/>
            <w:hideMark/>
          </w:tcPr>
          <w:p w14:paraId="743B78C5" w14:textId="77777777" w:rsidR="00D44287" w:rsidRPr="00E02073" w:rsidRDefault="00D44287" w:rsidP="00D44287">
            <w:pPr>
              <w:spacing w:after="0" w:line="240" w:lineRule="auto"/>
              <w:jc w:val="center"/>
              <w:rPr>
                <w:rFonts w:eastAsia="Times New Roman"/>
                <w:color w:val="000000"/>
                <w:sz w:val="16"/>
                <w:szCs w:val="16"/>
              </w:rPr>
            </w:pPr>
            <w:r w:rsidRPr="00E02073">
              <w:rPr>
                <w:rFonts w:eastAsia="Times New Roman"/>
                <w:sz w:val="16"/>
                <w:szCs w:val="16"/>
                <w:lang w:eastAsia="en-US"/>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28950711" w14:textId="77777777" w:rsidR="00D44287" w:rsidRPr="00E02073" w:rsidRDefault="00D44287" w:rsidP="00D44287">
            <w:pPr>
              <w:spacing w:after="0" w:line="240" w:lineRule="auto"/>
              <w:jc w:val="center"/>
              <w:rPr>
                <w:rFonts w:eastAsia="Times New Roman"/>
                <w:color w:val="000000"/>
                <w:sz w:val="16"/>
                <w:szCs w:val="16"/>
              </w:rPr>
            </w:pPr>
            <w:r w:rsidRPr="00E02073">
              <w:rPr>
                <w:color w:val="000000"/>
                <w:sz w:val="16"/>
                <w:szCs w:val="16"/>
              </w:rPr>
              <w:t>1</w:t>
            </w:r>
          </w:p>
        </w:tc>
        <w:tc>
          <w:tcPr>
            <w:tcW w:w="494" w:type="pct"/>
            <w:tcBorders>
              <w:top w:val="single" w:sz="4" w:space="0" w:color="95B3D7"/>
              <w:left w:val="nil"/>
              <w:bottom w:val="single" w:sz="4" w:space="0" w:color="95B3D7"/>
              <w:right w:val="nil"/>
            </w:tcBorders>
            <w:shd w:val="clear" w:color="DCE6F1" w:fill="DCE6F1"/>
            <w:noWrap/>
            <w:vAlign w:val="center"/>
            <w:hideMark/>
          </w:tcPr>
          <w:p w14:paraId="783CE76C" w14:textId="522650FC" w:rsidR="00D44287" w:rsidRPr="00E02073" w:rsidRDefault="00D44287" w:rsidP="00D44287">
            <w:pPr>
              <w:spacing w:after="0" w:line="240" w:lineRule="auto"/>
              <w:jc w:val="center"/>
              <w:rPr>
                <w:color w:val="000000"/>
                <w:sz w:val="16"/>
                <w:szCs w:val="16"/>
              </w:rPr>
            </w:pPr>
            <w:r w:rsidRPr="00E02073">
              <w:rPr>
                <w:color w:val="000000"/>
                <w:sz w:val="16"/>
                <w:szCs w:val="16"/>
              </w:rPr>
              <w:t>0.</w:t>
            </w:r>
            <w:r>
              <w:rPr>
                <w:color w:val="000000"/>
                <w:sz w:val="16"/>
                <w:szCs w:val="16"/>
              </w:rPr>
              <w:t>33</w:t>
            </w:r>
          </w:p>
        </w:tc>
      </w:tr>
    </w:tbl>
    <w:p w14:paraId="6A789877" w14:textId="77777777" w:rsidR="00D44287" w:rsidRDefault="00D44287" w:rsidP="005D0416">
      <w:pPr>
        <w:jc w:val="both"/>
      </w:pPr>
    </w:p>
    <w:p w14:paraId="0A1183B2" w14:textId="294174AE" w:rsidR="005D0416" w:rsidRPr="00E02073" w:rsidRDefault="005D0416" w:rsidP="005D0416">
      <w:pPr>
        <w:jc w:val="both"/>
      </w:pPr>
      <w:r w:rsidRPr="00E02073">
        <w:t>The field distr</w:t>
      </w:r>
      <w:r w:rsidR="00EC69BC">
        <w:t>ibution measurements (magnitude</w:t>
      </w:r>
      <w:r w:rsidRPr="00E02073">
        <w:t xml:space="preserve">) are performed using </w:t>
      </w:r>
      <w:r w:rsidR="004339C9">
        <w:t xml:space="preserve">a broadband dual polarized probe R&amp;S TC-TA18 </w:t>
      </w:r>
      <w:r w:rsidRPr="00E02073">
        <w:t xml:space="preserve">and a Vector Network Analyzer (e.g. R&amp;S ZVA8) in order to get results </w:t>
      </w:r>
      <w:r w:rsidR="00EC69BC">
        <w:t>like the one shown in figure 3.1</w:t>
      </w:r>
      <w:r w:rsidRPr="00E02073">
        <w:t>-</w:t>
      </w:r>
      <w:r w:rsidR="00EC69BC">
        <w:t>2</w:t>
      </w:r>
      <w:r w:rsidRPr="00E02073">
        <w:rPr>
          <w:rFonts w:eastAsia="Calibri" w:cs="Times New Roman"/>
          <w:b/>
          <w:bCs/>
          <w:sz w:val="18"/>
          <w:szCs w:val="18"/>
          <w:lang w:eastAsia="en-US"/>
        </w:rPr>
        <w:t>.</w:t>
      </w:r>
    </w:p>
    <w:p w14:paraId="616D84E3" w14:textId="022CA7C8" w:rsidR="005D0416" w:rsidRPr="00E02073" w:rsidRDefault="00DF6925" w:rsidP="00D628DC">
      <w:pPr>
        <w:keepNext/>
        <w:jc w:val="center"/>
      </w:pPr>
      <w:r w:rsidRPr="00DF6925">
        <w:rPr>
          <w:noProof/>
        </w:rPr>
        <w:t xml:space="preserve"> </w:t>
      </w:r>
      <w:r>
        <w:rPr>
          <w:noProof/>
          <w:lang w:eastAsia="en-US"/>
        </w:rPr>
        <w:drawing>
          <wp:inline distT="0" distB="0" distL="0" distR="0" wp14:anchorId="2D039BB3" wp14:editId="295D2081">
            <wp:extent cx="3985000"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5000" cy="3657600"/>
                    </a:xfrm>
                    <a:prstGeom prst="rect">
                      <a:avLst/>
                    </a:prstGeom>
                  </pic:spPr>
                </pic:pic>
              </a:graphicData>
            </a:graphic>
          </wp:inline>
        </w:drawing>
      </w:r>
    </w:p>
    <w:p w14:paraId="418FF452" w14:textId="69C47F70" w:rsidR="005D0416" w:rsidRDefault="005D0416" w:rsidP="005D0416">
      <w:pPr>
        <w:spacing w:before="60" w:after="0" w:line="240" w:lineRule="auto"/>
        <w:jc w:val="center"/>
        <w:rPr>
          <w:rFonts w:eastAsia="Calibri" w:cs="Times New Roman"/>
          <w:b/>
          <w:bCs/>
          <w:sz w:val="18"/>
          <w:szCs w:val="18"/>
          <w:lang w:eastAsia="en-US"/>
        </w:rPr>
      </w:pPr>
      <w:r w:rsidRPr="00D628DC">
        <w:rPr>
          <w:rFonts w:eastAsia="Calibri" w:cs="Times New Roman"/>
          <w:b/>
          <w:bCs/>
          <w:sz w:val="18"/>
          <w:szCs w:val="18"/>
          <w:lang w:eastAsia="en-US"/>
        </w:rPr>
        <w:t>Figure 3.</w:t>
      </w:r>
      <w:r w:rsidR="00EC69BC" w:rsidRPr="00D628DC">
        <w:rPr>
          <w:rFonts w:eastAsia="Calibri" w:cs="Times New Roman"/>
          <w:b/>
          <w:bCs/>
          <w:sz w:val="18"/>
          <w:szCs w:val="18"/>
          <w:lang w:eastAsia="en-US"/>
        </w:rPr>
        <w:t>1</w:t>
      </w:r>
      <w:r w:rsidRPr="00D628DC">
        <w:rPr>
          <w:rFonts w:eastAsia="Calibri" w:cs="Times New Roman"/>
          <w:b/>
          <w:bCs/>
          <w:sz w:val="18"/>
          <w:szCs w:val="18"/>
          <w:lang w:eastAsia="en-US"/>
        </w:rPr>
        <w:t>-</w:t>
      </w:r>
      <w:r w:rsidR="00EC69BC" w:rsidRPr="00D628DC">
        <w:rPr>
          <w:rFonts w:eastAsia="Calibri" w:cs="Times New Roman"/>
          <w:b/>
          <w:bCs/>
          <w:sz w:val="18"/>
          <w:szCs w:val="18"/>
          <w:lang w:eastAsia="en-US"/>
        </w:rPr>
        <w:t>2</w:t>
      </w:r>
      <w:r w:rsidRPr="00D628DC">
        <w:rPr>
          <w:rFonts w:eastAsia="Calibri" w:cs="Times New Roman"/>
          <w:b/>
          <w:bCs/>
          <w:sz w:val="18"/>
          <w:szCs w:val="18"/>
          <w:lang w:eastAsia="en-US"/>
        </w:rPr>
        <w:t>: QZ field distribution</w:t>
      </w:r>
      <w:r w:rsidR="00D628DC" w:rsidRPr="00D628DC">
        <w:rPr>
          <w:rFonts w:eastAsia="Calibri" w:cs="Times New Roman"/>
          <w:b/>
          <w:bCs/>
          <w:sz w:val="18"/>
          <w:szCs w:val="18"/>
          <w:lang w:eastAsia="en-US"/>
        </w:rPr>
        <w:t xml:space="preserve">, </w:t>
      </w:r>
      <w:r w:rsidR="00EC69BC" w:rsidRPr="00D628DC">
        <w:rPr>
          <w:rFonts w:eastAsia="Calibri" w:cs="Times New Roman"/>
          <w:b/>
          <w:bCs/>
          <w:sz w:val="18"/>
          <w:szCs w:val="18"/>
          <w:lang w:eastAsia="en-US"/>
        </w:rPr>
        <w:t xml:space="preserve">f = </w:t>
      </w:r>
      <w:r w:rsidR="00D44287">
        <w:rPr>
          <w:rFonts w:eastAsia="Calibri" w:cs="Times New Roman"/>
          <w:b/>
          <w:bCs/>
          <w:sz w:val="18"/>
          <w:szCs w:val="18"/>
          <w:lang w:eastAsia="en-US"/>
        </w:rPr>
        <w:t>50</w:t>
      </w:r>
      <w:r w:rsidR="00D628DC" w:rsidRPr="00D628DC">
        <w:rPr>
          <w:rFonts w:eastAsia="Calibri" w:cs="Times New Roman"/>
          <w:b/>
          <w:bCs/>
          <w:sz w:val="18"/>
          <w:szCs w:val="18"/>
          <w:lang w:eastAsia="en-US"/>
        </w:rPr>
        <w:t>0</w:t>
      </w:r>
      <w:r w:rsidR="00EC69BC" w:rsidRPr="00D628DC">
        <w:rPr>
          <w:rFonts w:eastAsia="Calibri" w:cs="Times New Roman"/>
          <w:b/>
          <w:bCs/>
          <w:sz w:val="18"/>
          <w:szCs w:val="18"/>
          <w:lang w:eastAsia="en-US"/>
        </w:rPr>
        <w:t>0 MHz</w:t>
      </w:r>
      <w:r w:rsidRPr="00D628DC">
        <w:rPr>
          <w:rFonts w:eastAsia="Calibri" w:cs="Times New Roman"/>
          <w:b/>
          <w:bCs/>
          <w:sz w:val="18"/>
          <w:szCs w:val="18"/>
          <w:lang w:eastAsia="en-US"/>
        </w:rPr>
        <w:t>.</w:t>
      </w:r>
      <w:r w:rsidRPr="00E02073">
        <w:rPr>
          <w:rFonts w:eastAsia="Calibri" w:cs="Times New Roman"/>
          <w:b/>
          <w:bCs/>
          <w:sz w:val="18"/>
          <w:szCs w:val="18"/>
          <w:lang w:eastAsia="en-US"/>
        </w:rPr>
        <w:t xml:space="preserve"> </w:t>
      </w:r>
    </w:p>
    <w:p w14:paraId="68E669B0" w14:textId="77777777" w:rsidR="005D0416" w:rsidRDefault="005D0416" w:rsidP="005D0416">
      <w:pPr>
        <w:pStyle w:val="Heading2"/>
        <w:numPr>
          <w:ilvl w:val="0"/>
          <w:numId w:val="0"/>
        </w:numPr>
        <w:ind w:left="432"/>
        <w:rPr>
          <w:lang w:val="en-US"/>
        </w:rPr>
      </w:pPr>
    </w:p>
    <w:p w14:paraId="1491E7E1" w14:textId="182CC7BC" w:rsidR="00C74536" w:rsidRPr="00E02073" w:rsidRDefault="001269B5" w:rsidP="00C74536">
      <w:pPr>
        <w:pStyle w:val="Heading2"/>
        <w:rPr>
          <w:lang w:val="en-US"/>
        </w:rPr>
      </w:pPr>
      <w:r>
        <w:rPr>
          <w:lang w:val="en-US"/>
        </w:rPr>
        <w:t>System non-linearity</w:t>
      </w:r>
    </w:p>
    <w:p w14:paraId="6784A8C5" w14:textId="0F67F43B" w:rsidR="008A6A9C" w:rsidRPr="004F7D0D" w:rsidRDefault="008A6A9C" w:rsidP="008A6A9C">
      <w:pPr>
        <w:jc w:val="both"/>
        <w:rPr>
          <w:lang w:val="en-GB" w:eastAsia="en-US"/>
        </w:rPr>
      </w:pPr>
      <w:r w:rsidRPr="004F7D0D">
        <w:rPr>
          <w:lang w:val="en-GB" w:eastAsia="en-US"/>
        </w:rPr>
        <w:t>As described in TR 37.941</w:t>
      </w:r>
      <w:r>
        <w:rPr>
          <w:lang w:val="en-GB" w:eastAsia="en-US"/>
        </w:rPr>
        <w:t xml:space="preserve"> </w:t>
      </w:r>
      <w:r>
        <w:rPr>
          <w:lang w:val="en-GB" w:eastAsia="en-US"/>
        </w:rPr>
        <w:fldChar w:fldCharType="begin"/>
      </w:r>
      <w:r>
        <w:rPr>
          <w:lang w:val="en-GB" w:eastAsia="en-US"/>
        </w:rPr>
        <w:instrText xml:space="preserve"> REF _Ref47708830 \r \h </w:instrText>
      </w:r>
      <w:r>
        <w:rPr>
          <w:lang w:val="en-GB" w:eastAsia="en-US"/>
        </w:rPr>
      </w:r>
      <w:r>
        <w:rPr>
          <w:lang w:val="en-GB" w:eastAsia="en-US"/>
        </w:rPr>
        <w:fldChar w:fldCharType="separate"/>
      </w:r>
      <w:r w:rsidR="00705836">
        <w:rPr>
          <w:lang w:val="en-GB" w:eastAsia="en-US"/>
        </w:rPr>
        <w:t>[1]</w:t>
      </w:r>
      <w:r>
        <w:rPr>
          <w:lang w:val="en-GB" w:eastAsia="en-US"/>
        </w:rPr>
        <w:fldChar w:fldCharType="end"/>
      </w:r>
      <w:r w:rsidRPr="004F7D0D">
        <w:rPr>
          <w:lang w:val="en-GB" w:eastAsia="en-US"/>
        </w:rPr>
        <w:t>, clause A.7, this uncertainty term is calculated as RSS of the following items, assuming a rectangular distribution:</w:t>
      </w:r>
    </w:p>
    <w:p w14:paraId="674B800E" w14:textId="77777777" w:rsidR="008A6A9C" w:rsidRPr="004F7D0D" w:rsidRDefault="008A6A9C" w:rsidP="008A6A9C">
      <w:pPr>
        <w:pStyle w:val="ListParagraph"/>
        <w:numPr>
          <w:ilvl w:val="0"/>
          <w:numId w:val="23"/>
        </w:numPr>
        <w:jc w:val="both"/>
        <w:rPr>
          <w:rFonts w:ascii="Arial" w:hAnsi="Arial" w:cs="Arial"/>
          <w:sz w:val="22"/>
          <w:szCs w:val="22"/>
          <w:lang w:val="en-GB"/>
        </w:rPr>
      </w:pPr>
      <w:r w:rsidRPr="004F7D0D">
        <w:rPr>
          <w:rFonts w:ascii="Arial" w:hAnsi="Arial" w:cs="Arial"/>
          <w:sz w:val="22"/>
          <w:szCs w:val="22"/>
          <w:lang w:val="en-GB"/>
        </w:rPr>
        <w:t>System non-linearity in time. This is assessed by repeated measurements over a period of time (e.g. 60 minutes) for the same reference power transmitted by the reference antenna. The largest difference between the results is recorded as the uncertainty.</w:t>
      </w:r>
    </w:p>
    <w:p w14:paraId="567C87E7" w14:textId="77777777" w:rsidR="008A6A9C" w:rsidRPr="004F7D0D" w:rsidRDefault="008A6A9C" w:rsidP="008A6A9C">
      <w:pPr>
        <w:pStyle w:val="ListParagraph"/>
        <w:numPr>
          <w:ilvl w:val="0"/>
          <w:numId w:val="23"/>
        </w:numPr>
        <w:jc w:val="both"/>
        <w:rPr>
          <w:rFonts w:ascii="Arial" w:hAnsi="Arial" w:cs="Arial"/>
          <w:sz w:val="22"/>
          <w:szCs w:val="22"/>
          <w:lang w:val="en-GB"/>
        </w:rPr>
      </w:pPr>
      <w:r w:rsidRPr="004F7D0D">
        <w:rPr>
          <w:rFonts w:ascii="Arial" w:hAnsi="Arial" w:cs="Arial"/>
          <w:sz w:val="22"/>
          <w:szCs w:val="22"/>
          <w:lang w:val="en-GB"/>
        </w:rPr>
        <w:lastRenderedPageBreak/>
        <w:t>System non-linearity in power. This is assessed by repeated measurements over a range of transmitted powers. The largest delta between the increments on the receiving side versus the transmitting side is recorded as the uncertainty.</w:t>
      </w:r>
    </w:p>
    <w:p w14:paraId="05C2DE74" w14:textId="09528609" w:rsidR="007659E7" w:rsidRDefault="008A6A9C" w:rsidP="007659E7">
      <w:pPr>
        <w:jc w:val="both"/>
        <w:rPr>
          <w:lang w:eastAsia="en-US"/>
        </w:rPr>
      </w:pPr>
      <w:r>
        <w:rPr>
          <w:lang w:eastAsia="en-US"/>
        </w:rPr>
        <w:t>Following the same approach presented in</w:t>
      </w:r>
      <w:r w:rsidR="00016C07">
        <w:rPr>
          <w:lang w:eastAsia="en-US"/>
        </w:rPr>
        <w:t xml:space="preserve"> </w:t>
      </w:r>
      <w:r w:rsidR="00016C07">
        <w:rPr>
          <w:lang w:eastAsia="en-US"/>
        </w:rPr>
        <w:fldChar w:fldCharType="begin"/>
      </w:r>
      <w:r w:rsidR="00016C07">
        <w:rPr>
          <w:lang w:eastAsia="en-US"/>
        </w:rPr>
        <w:instrText xml:space="preserve"> REF _Ref54375404 \r \h </w:instrText>
      </w:r>
      <w:r w:rsidR="00016C07">
        <w:rPr>
          <w:lang w:eastAsia="en-US"/>
        </w:rPr>
      </w:r>
      <w:r w:rsidR="00016C07">
        <w:rPr>
          <w:lang w:eastAsia="en-US"/>
        </w:rPr>
        <w:fldChar w:fldCharType="separate"/>
      </w:r>
      <w:r w:rsidR="00705836">
        <w:rPr>
          <w:lang w:eastAsia="en-US"/>
        </w:rPr>
        <w:t>[6]</w:t>
      </w:r>
      <w:r w:rsidR="00016C07">
        <w:rPr>
          <w:lang w:eastAsia="en-US"/>
        </w:rPr>
        <w:fldChar w:fldCharType="end"/>
      </w:r>
      <w:r>
        <w:rPr>
          <w:lang w:eastAsia="en-US"/>
        </w:rPr>
        <w:t xml:space="preserve"> a test campaign was performed on </w:t>
      </w:r>
      <w:r w:rsidRPr="004F7D0D">
        <w:rPr>
          <w:lang w:val="en-GB" w:eastAsia="en-US"/>
        </w:rPr>
        <w:t>R&amp;S PWC200 to obtain the corresponding MU estimation</w:t>
      </w:r>
      <w:r>
        <w:rPr>
          <w:lang w:val="en-GB" w:eastAsia="en-US"/>
        </w:rPr>
        <w:t xml:space="preserve"> for the frequency range between 4.2GHz and 6GHz</w:t>
      </w:r>
      <w:r w:rsidR="007659E7">
        <w:rPr>
          <w:lang w:eastAsia="en-US"/>
        </w:rPr>
        <w:t>.</w:t>
      </w:r>
    </w:p>
    <w:p w14:paraId="1CD3870B" w14:textId="0438A96E" w:rsidR="008A6A9C" w:rsidRDefault="008A6A9C" w:rsidP="008A6A9C">
      <w:pPr>
        <w:jc w:val="both"/>
        <w:rPr>
          <w:lang w:val="en-GB" w:eastAsia="en-US"/>
        </w:rPr>
      </w:pPr>
      <w:r w:rsidRPr="004F7D0D">
        <w:rPr>
          <w:lang w:val="en-GB" w:eastAsia="en-US"/>
        </w:rPr>
        <w:t>According to the results from this measurement campaign, system non-linearity uncertainty is calculated using the worst case for each frequency range and combined as RSS for the two items:</w:t>
      </w:r>
    </w:p>
    <w:tbl>
      <w:tblPr>
        <w:tblW w:w="5000" w:type="pct"/>
        <w:tblLayout w:type="fixed"/>
        <w:tblLook w:val="04A0" w:firstRow="1" w:lastRow="0" w:firstColumn="1" w:lastColumn="0" w:noHBand="0" w:noVBand="1"/>
      </w:tblPr>
      <w:tblGrid>
        <w:gridCol w:w="846"/>
        <w:gridCol w:w="2977"/>
        <w:gridCol w:w="851"/>
        <w:gridCol w:w="849"/>
        <w:gridCol w:w="1136"/>
        <w:gridCol w:w="992"/>
        <w:gridCol w:w="780"/>
        <w:gridCol w:w="924"/>
      </w:tblGrid>
      <w:tr w:rsidR="008A6A9C" w:rsidRPr="00E02073" w14:paraId="26160DF5" w14:textId="77777777" w:rsidTr="00830E2B">
        <w:trPr>
          <w:trHeight w:val="510"/>
        </w:trPr>
        <w:tc>
          <w:tcPr>
            <w:tcW w:w="452" w:type="pct"/>
            <w:tcBorders>
              <w:top w:val="single" w:sz="4" w:space="0" w:color="95B3D7"/>
              <w:left w:val="single" w:sz="4" w:space="0" w:color="95B3D7"/>
              <w:bottom w:val="single" w:sz="4" w:space="0" w:color="95B3D7"/>
              <w:right w:val="nil"/>
            </w:tcBorders>
            <w:shd w:val="clear" w:color="000000" w:fill="4F81BD"/>
            <w:vAlign w:val="center"/>
          </w:tcPr>
          <w:p w14:paraId="039E1207"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591" w:type="pct"/>
            <w:tcBorders>
              <w:top w:val="single" w:sz="4" w:space="0" w:color="95B3D7"/>
              <w:left w:val="single" w:sz="4" w:space="0" w:color="95B3D7"/>
              <w:bottom w:val="single" w:sz="4" w:space="0" w:color="95B3D7"/>
              <w:right w:val="nil"/>
            </w:tcBorders>
            <w:shd w:val="clear" w:color="000000" w:fill="4F81BD"/>
            <w:noWrap/>
            <w:vAlign w:val="center"/>
            <w:hideMark/>
          </w:tcPr>
          <w:p w14:paraId="62265615" w14:textId="77777777" w:rsidR="008A6A9C" w:rsidRPr="00E02073" w:rsidRDefault="008A6A9C" w:rsidP="00830E2B">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455" w:type="pct"/>
            <w:tcBorders>
              <w:top w:val="single" w:sz="4" w:space="0" w:color="95B3D7"/>
              <w:left w:val="nil"/>
              <w:bottom w:val="single" w:sz="4" w:space="0" w:color="95B3D7"/>
              <w:right w:val="nil"/>
            </w:tcBorders>
            <w:shd w:val="clear" w:color="000000" w:fill="4F81BD"/>
            <w:vAlign w:val="center"/>
            <w:hideMark/>
          </w:tcPr>
          <w:p w14:paraId="73C13EAA"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c>
          <w:tcPr>
            <w:tcW w:w="454" w:type="pct"/>
            <w:tcBorders>
              <w:top w:val="single" w:sz="4" w:space="0" w:color="95B3D7"/>
              <w:left w:val="nil"/>
              <w:bottom w:val="single" w:sz="4" w:space="0" w:color="95B3D7"/>
              <w:right w:val="nil"/>
            </w:tcBorders>
            <w:shd w:val="clear" w:color="000000" w:fill="4F81BD"/>
            <w:noWrap/>
            <w:vAlign w:val="center"/>
            <w:hideMark/>
          </w:tcPr>
          <w:p w14:paraId="578DF432"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7" w:type="pct"/>
            <w:tcBorders>
              <w:top w:val="single" w:sz="4" w:space="0" w:color="95B3D7"/>
              <w:left w:val="nil"/>
              <w:bottom w:val="single" w:sz="4" w:space="0" w:color="95B3D7"/>
              <w:right w:val="nil"/>
            </w:tcBorders>
            <w:shd w:val="clear" w:color="000000" w:fill="4F81BD"/>
            <w:noWrap/>
            <w:vAlign w:val="center"/>
            <w:hideMark/>
          </w:tcPr>
          <w:p w14:paraId="7BDE067D"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530" w:type="pct"/>
            <w:tcBorders>
              <w:top w:val="single" w:sz="4" w:space="0" w:color="95B3D7"/>
              <w:left w:val="nil"/>
              <w:bottom w:val="single" w:sz="4" w:space="0" w:color="95B3D7"/>
              <w:right w:val="nil"/>
            </w:tcBorders>
            <w:shd w:val="clear" w:color="000000" w:fill="4F81BD"/>
            <w:noWrap/>
            <w:vAlign w:val="center"/>
            <w:hideMark/>
          </w:tcPr>
          <w:p w14:paraId="0FABF1EF"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526D0F80"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94" w:type="pct"/>
            <w:tcBorders>
              <w:top w:val="single" w:sz="4" w:space="0" w:color="95B3D7"/>
              <w:left w:val="nil"/>
              <w:bottom w:val="single" w:sz="4" w:space="0" w:color="95B3D7"/>
              <w:right w:val="nil"/>
            </w:tcBorders>
            <w:shd w:val="clear" w:color="000000" w:fill="4F81BD"/>
            <w:vAlign w:val="center"/>
            <w:hideMark/>
          </w:tcPr>
          <w:p w14:paraId="3CF88BC0" w14:textId="77777777" w:rsidR="008A6A9C" w:rsidRPr="00E02073" w:rsidRDefault="008A6A9C"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r>
      <w:tr w:rsidR="008A6A9C" w:rsidRPr="00E02073" w14:paraId="31369ADE" w14:textId="77777777" w:rsidTr="00830E2B">
        <w:trPr>
          <w:trHeight w:val="255"/>
        </w:trPr>
        <w:tc>
          <w:tcPr>
            <w:tcW w:w="452" w:type="pct"/>
            <w:tcBorders>
              <w:top w:val="single" w:sz="4" w:space="0" w:color="95B3D7"/>
              <w:left w:val="single" w:sz="4" w:space="0" w:color="95B3D7"/>
              <w:bottom w:val="single" w:sz="4" w:space="0" w:color="95B3D7"/>
              <w:right w:val="nil"/>
            </w:tcBorders>
            <w:shd w:val="clear" w:color="DCE6F1" w:fill="DCE6F1"/>
            <w:vAlign w:val="center"/>
          </w:tcPr>
          <w:p w14:paraId="3722353D" w14:textId="1E21AF78" w:rsidR="008A6A9C" w:rsidRPr="00E02073" w:rsidRDefault="008A6A9C" w:rsidP="008A6A9C">
            <w:pPr>
              <w:spacing w:after="0" w:line="240" w:lineRule="auto"/>
              <w:jc w:val="center"/>
              <w:rPr>
                <w:color w:val="000000"/>
                <w:sz w:val="16"/>
                <w:szCs w:val="16"/>
              </w:rPr>
            </w:pPr>
            <w:r>
              <w:rPr>
                <w:color w:val="000000"/>
                <w:sz w:val="16"/>
                <w:szCs w:val="16"/>
              </w:rPr>
              <w:t>A7-14</w:t>
            </w:r>
          </w:p>
        </w:tc>
        <w:tc>
          <w:tcPr>
            <w:tcW w:w="1591" w:type="pct"/>
            <w:tcBorders>
              <w:top w:val="single" w:sz="4" w:space="0" w:color="95B3D7"/>
              <w:left w:val="single" w:sz="4" w:space="0" w:color="95B3D7"/>
              <w:bottom w:val="single" w:sz="4" w:space="0" w:color="95B3D7"/>
              <w:right w:val="nil"/>
            </w:tcBorders>
            <w:shd w:val="clear" w:color="DCE6F1" w:fill="DCE6F1"/>
            <w:noWrap/>
            <w:vAlign w:val="center"/>
            <w:hideMark/>
          </w:tcPr>
          <w:p w14:paraId="366138B5" w14:textId="73362A5E" w:rsidR="008A6A9C" w:rsidRPr="00E02073" w:rsidRDefault="008A6A9C" w:rsidP="008A6A9C">
            <w:pPr>
              <w:spacing w:after="0" w:line="240" w:lineRule="auto"/>
              <w:rPr>
                <w:color w:val="000000"/>
                <w:sz w:val="16"/>
                <w:szCs w:val="16"/>
              </w:rPr>
            </w:pPr>
            <w:r w:rsidRPr="004F7D0D">
              <w:rPr>
                <w:color w:val="000000"/>
                <w:sz w:val="16"/>
                <w:szCs w:val="16"/>
                <w:lang w:val="en-GB"/>
              </w:rPr>
              <w:t>System non-linearity</w:t>
            </w:r>
          </w:p>
        </w:tc>
        <w:tc>
          <w:tcPr>
            <w:tcW w:w="455" w:type="pct"/>
            <w:tcBorders>
              <w:top w:val="single" w:sz="4" w:space="0" w:color="95B3D7"/>
              <w:left w:val="nil"/>
              <w:bottom w:val="single" w:sz="4" w:space="0" w:color="95B3D7"/>
              <w:right w:val="nil"/>
            </w:tcBorders>
            <w:shd w:val="clear" w:color="DCE6F1" w:fill="DCE6F1"/>
            <w:noWrap/>
            <w:vAlign w:val="center"/>
            <w:hideMark/>
          </w:tcPr>
          <w:p w14:paraId="4AC93F89" w14:textId="70EA76CC" w:rsidR="008A6A9C" w:rsidRPr="00E02073" w:rsidRDefault="008A6A9C" w:rsidP="008A6A9C">
            <w:pPr>
              <w:spacing w:after="0" w:line="240" w:lineRule="auto"/>
              <w:jc w:val="center"/>
              <w:rPr>
                <w:rFonts w:eastAsia="Times New Roman"/>
                <w:sz w:val="16"/>
                <w:szCs w:val="16"/>
                <w:lang w:eastAsia="en-US"/>
              </w:rPr>
            </w:pPr>
            <w:r>
              <w:rPr>
                <w:rFonts w:eastAsia="Times New Roman"/>
                <w:sz w:val="16"/>
                <w:szCs w:val="16"/>
                <w:lang w:eastAsia="en-US"/>
              </w:rPr>
              <w:t>0.15</w:t>
            </w:r>
          </w:p>
        </w:tc>
        <w:tc>
          <w:tcPr>
            <w:tcW w:w="454" w:type="pct"/>
            <w:tcBorders>
              <w:top w:val="single" w:sz="4" w:space="0" w:color="95B3D7"/>
              <w:left w:val="nil"/>
              <w:bottom w:val="single" w:sz="4" w:space="0" w:color="95B3D7"/>
              <w:right w:val="nil"/>
            </w:tcBorders>
            <w:shd w:val="clear" w:color="DCE6F1" w:fill="DCE6F1"/>
            <w:noWrap/>
            <w:vAlign w:val="center"/>
            <w:hideMark/>
          </w:tcPr>
          <w:p w14:paraId="2597450F" w14:textId="77777777" w:rsidR="008A6A9C" w:rsidRPr="00E02073" w:rsidRDefault="008A6A9C" w:rsidP="008A6A9C">
            <w:pPr>
              <w:spacing w:after="0" w:line="240" w:lineRule="auto"/>
              <w:jc w:val="center"/>
              <w:rPr>
                <w:rFonts w:eastAsia="Times New Roman"/>
                <w:color w:val="000000"/>
                <w:sz w:val="16"/>
                <w:szCs w:val="16"/>
              </w:rPr>
            </w:pPr>
            <w:r w:rsidRPr="00E02073">
              <w:rPr>
                <w:color w:val="000000"/>
                <w:sz w:val="16"/>
                <w:szCs w:val="16"/>
              </w:rPr>
              <w:t>dB</w:t>
            </w:r>
          </w:p>
        </w:tc>
        <w:tc>
          <w:tcPr>
            <w:tcW w:w="607" w:type="pct"/>
            <w:tcBorders>
              <w:top w:val="single" w:sz="4" w:space="0" w:color="95B3D7"/>
              <w:left w:val="nil"/>
              <w:bottom w:val="single" w:sz="4" w:space="0" w:color="95B3D7"/>
              <w:right w:val="nil"/>
            </w:tcBorders>
            <w:shd w:val="clear" w:color="DCE6F1" w:fill="DCE6F1"/>
            <w:noWrap/>
            <w:vAlign w:val="center"/>
            <w:hideMark/>
          </w:tcPr>
          <w:p w14:paraId="37412592" w14:textId="77777777" w:rsidR="008A6A9C" w:rsidRPr="00E02073" w:rsidRDefault="008A6A9C" w:rsidP="008A6A9C">
            <w:pPr>
              <w:spacing w:after="0" w:line="240" w:lineRule="auto"/>
              <w:jc w:val="center"/>
              <w:rPr>
                <w:rFonts w:eastAsia="Times New Roman"/>
                <w:color w:val="000000"/>
                <w:sz w:val="16"/>
                <w:szCs w:val="16"/>
              </w:rPr>
            </w:pPr>
            <w:r w:rsidRPr="00E02073">
              <w:rPr>
                <w:rFonts w:eastAsia="Times New Roman"/>
                <w:sz w:val="16"/>
                <w:szCs w:val="16"/>
                <w:lang w:eastAsia="en-US"/>
              </w:rPr>
              <w:t>Rectangular</w:t>
            </w:r>
          </w:p>
        </w:tc>
        <w:tc>
          <w:tcPr>
            <w:tcW w:w="530" w:type="pct"/>
            <w:tcBorders>
              <w:top w:val="single" w:sz="4" w:space="0" w:color="95B3D7"/>
              <w:left w:val="nil"/>
              <w:bottom w:val="single" w:sz="4" w:space="0" w:color="95B3D7"/>
              <w:right w:val="nil"/>
            </w:tcBorders>
            <w:shd w:val="clear" w:color="DCE6F1" w:fill="DCE6F1"/>
            <w:noWrap/>
            <w:vAlign w:val="center"/>
            <w:hideMark/>
          </w:tcPr>
          <w:p w14:paraId="594B12B3" w14:textId="77777777" w:rsidR="008A6A9C" w:rsidRPr="00E02073" w:rsidRDefault="008A6A9C" w:rsidP="008A6A9C">
            <w:pPr>
              <w:spacing w:after="0" w:line="240" w:lineRule="auto"/>
              <w:jc w:val="center"/>
              <w:rPr>
                <w:rFonts w:eastAsia="Times New Roman"/>
                <w:color w:val="000000"/>
                <w:sz w:val="16"/>
                <w:szCs w:val="16"/>
              </w:rPr>
            </w:pPr>
            <w:r w:rsidRPr="00E02073">
              <w:rPr>
                <w:rFonts w:eastAsia="Times New Roman"/>
                <w:sz w:val="16"/>
                <w:szCs w:val="16"/>
                <w:lang w:eastAsia="en-US"/>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301953DD" w14:textId="77777777" w:rsidR="008A6A9C" w:rsidRPr="00E02073" w:rsidRDefault="008A6A9C" w:rsidP="008A6A9C">
            <w:pPr>
              <w:spacing w:after="0" w:line="240" w:lineRule="auto"/>
              <w:jc w:val="center"/>
              <w:rPr>
                <w:rFonts w:eastAsia="Times New Roman"/>
                <w:color w:val="000000"/>
                <w:sz w:val="16"/>
                <w:szCs w:val="16"/>
              </w:rPr>
            </w:pPr>
            <w:r w:rsidRPr="00E02073">
              <w:rPr>
                <w:color w:val="000000"/>
                <w:sz w:val="16"/>
                <w:szCs w:val="16"/>
              </w:rPr>
              <w:t>1</w:t>
            </w:r>
          </w:p>
        </w:tc>
        <w:tc>
          <w:tcPr>
            <w:tcW w:w="494" w:type="pct"/>
            <w:tcBorders>
              <w:top w:val="single" w:sz="4" w:space="0" w:color="95B3D7"/>
              <w:left w:val="nil"/>
              <w:bottom w:val="single" w:sz="4" w:space="0" w:color="95B3D7"/>
              <w:right w:val="nil"/>
            </w:tcBorders>
            <w:shd w:val="clear" w:color="DCE6F1" w:fill="DCE6F1"/>
            <w:noWrap/>
            <w:vAlign w:val="center"/>
            <w:hideMark/>
          </w:tcPr>
          <w:p w14:paraId="56B32245" w14:textId="51D91752" w:rsidR="008A6A9C" w:rsidRPr="00E02073" w:rsidRDefault="008A6A9C" w:rsidP="008A6A9C">
            <w:pPr>
              <w:spacing w:after="0" w:line="240" w:lineRule="auto"/>
              <w:jc w:val="center"/>
              <w:rPr>
                <w:color w:val="000000"/>
                <w:sz w:val="16"/>
                <w:szCs w:val="16"/>
              </w:rPr>
            </w:pPr>
            <w:r>
              <w:rPr>
                <w:color w:val="000000"/>
                <w:sz w:val="16"/>
                <w:szCs w:val="16"/>
              </w:rPr>
              <w:t>0.09</w:t>
            </w:r>
          </w:p>
        </w:tc>
      </w:tr>
    </w:tbl>
    <w:p w14:paraId="3CBEE5EC" w14:textId="77777777" w:rsidR="008A6A9C" w:rsidRDefault="008A6A9C" w:rsidP="007659E7">
      <w:pPr>
        <w:jc w:val="both"/>
        <w:rPr>
          <w:lang w:eastAsia="en-US"/>
        </w:rPr>
      </w:pPr>
    </w:p>
    <w:p w14:paraId="7649D23C" w14:textId="77777777" w:rsidR="00C206DF" w:rsidRPr="00E02073" w:rsidRDefault="00C206DF" w:rsidP="00C206DF">
      <w:pPr>
        <w:pStyle w:val="Heading2"/>
        <w:rPr>
          <w:lang w:val="en-US"/>
        </w:rPr>
      </w:pPr>
      <w:r w:rsidRPr="00E02073">
        <w:rPr>
          <w:lang w:val="en-US"/>
        </w:rPr>
        <w:t>Field repeatability</w:t>
      </w:r>
    </w:p>
    <w:p w14:paraId="2A9392F6" w14:textId="3C85F16A" w:rsidR="00E319B7" w:rsidRDefault="008A6A9C" w:rsidP="00C206DF">
      <w:pPr>
        <w:jc w:val="both"/>
        <w:rPr>
          <w:lang w:eastAsia="en-US"/>
        </w:rPr>
      </w:pPr>
      <w:r>
        <w:rPr>
          <w:lang w:eastAsia="en-US"/>
        </w:rPr>
        <w:t>As described in</w:t>
      </w:r>
      <w:r w:rsidR="00377AA7">
        <w:rPr>
          <w:lang w:eastAsia="en-US"/>
        </w:rPr>
        <w:t xml:space="preserve"> </w:t>
      </w:r>
      <w:r w:rsidR="00377AA7">
        <w:rPr>
          <w:lang w:eastAsia="en-US"/>
        </w:rPr>
        <w:fldChar w:fldCharType="begin"/>
      </w:r>
      <w:r w:rsidR="00377AA7">
        <w:rPr>
          <w:lang w:eastAsia="en-US"/>
        </w:rPr>
        <w:instrText xml:space="preserve"> REF _Ref54375231 \r \h </w:instrText>
      </w:r>
      <w:r w:rsidR="00377AA7">
        <w:rPr>
          <w:lang w:eastAsia="en-US"/>
        </w:rPr>
      </w:r>
      <w:r w:rsidR="00377AA7">
        <w:rPr>
          <w:lang w:eastAsia="en-US"/>
        </w:rPr>
        <w:fldChar w:fldCharType="separate"/>
      </w:r>
      <w:r w:rsidR="00705836">
        <w:rPr>
          <w:lang w:eastAsia="en-US"/>
        </w:rPr>
        <w:t>[4]</w:t>
      </w:r>
      <w:r w:rsidR="00377AA7">
        <w:rPr>
          <w:lang w:eastAsia="en-US"/>
        </w:rPr>
        <w:fldChar w:fldCharType="end"/>
      </w:r>
      <w:r>
        <w:rPr>
          <w:lang w:eastAsia="en-US"/>
        </w:rPr>
        <w:t xml:space="preserve">, </w:t>
      </w:r>
      <w:r w:rsidR="00E319B7">
        <w:rPr>
          <w:lang w:eastAsia="en-US"/>
        </w:rPr>
        <w:t>this MU term is assessed by repeated measurements after field calibration and the uncertainty terms is defined based on the maximum error between two individual measurements as:</w:t>
      </w:r>
    </w:p>
    <w:p w14:paraId="06068E4D" w14:textId="4599666C" w:rsidR="00E319B7" w:rsidRPr="00E319B7" w:rsidRDefault="00E319B7" w:rsidP="00E319B7">
      <w:pPr>
        <w:jc w:val="both"/>
      </w:pPr>
      <m:oMathPara>
        <m:oMathParaPr>
          <m:jc m:val="center"/>
        </m:oMathParaPr>
        <m:oMath>
          <m:r>
            <w:rPr>
              <w:rFonts w:ascii="Cambria Math" w:hAnsi="Cambria Math"/>
            </w:rPr>
            <m:t>u</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i</m:t>
                  </m:r>
                </m:lim>
              </m:limLow>
            </m:fName>
            <m:e>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r>
                            <m:rPr>
                              <m:sty m:val="p"/>
                            </m:rPr>
                            <w:rPr>
                              <w:rFonts w:ascii="Cambria Math" w:hAnsi="Cambria Math"/>
                            </w:rPr>
                            <m:t>21</m:t>
                          </m:r>
                        </m:e>
                        <m:sub>
                          <m:r>
                            <w:rPr>
                              <w:rFonts w:ascii="Cambria Math" w:hAnsi="Cambria Math"/>
                            </w:rPr>
                            <m:t>i</m:t>
                          </m:r>
                        </m:sub>
                      </m:sSub>
                    </m:e>
                  </m:d>
                </m:e>
              </m:func>
            </m:e>
          </m:func>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i</m:t>
                  </m:r>
                </m:lim>
              </m:limLow>
            </m:fName>
            <m:e>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r>
                            <m:rPr>
                              <m:sty m:val="p"/>
                            </m:rPr>
                            <w:rPr>
                              <w:rFonts w:ascii="Cambria Math" w:hAnsi="Cambria Math"/>
                            </w:rPr>
                            <m:t>21</m:t>
                          </m:r>
                        </m:e>
                        <m:sub>
                          <m:r>
                            <w:rPr>
                              <w:rFonts w:ascii="Cambria Math" w:hAnsi="Cambria Math"/>
                            </w:rPr>
                            <m:t>i</m:t>
                          </m:r>
                        </m:sub>
                      </m:sSub>
                    </m:e>
                  </m:d>
                </m:e>
              </m:func>
            </m:e>
          </m:func>
        </m:oMath>
      </m:oMathPara>
    </w:p>
    <w:tbl>
      <w:tblPr>
        <w:tblW w:w="5000" w:type="pct"/>
        <w:tblLayout w:type="fixed"/>
        <w:tblLook w:val="04A0" w:firstRow="1" w:lastRow="0" w:firstColumn="1" w:lastColumn="0" w:noHBand="0" w:noVBand="1"/>
      </w:tblPr>
      <w:tblGrid>
        <w:gridCol w:w="846"/>
        <w:gridCol w:w="2977"/>
        <w:gridCol w:w="851"/>
        <w:gridCol w:w="849"/>
        <w:gridCol w:w="1136"/>
        <w:gridCol w:w="992"/>
        <w:gridCol w:w="780"/>
        <w:gridCol w:w="924"/>
      </w:tblGrid>
      <w:tr w:rsidR="00E319B7" w:rsidRPr="00E02073" w14:paraId="69172B70" w14:textId="77777777" w:rsidTr="00830E2B">
        <w:trPr>
          <w:trHeight w:val="510"/>
        </w:trPr>
        <w:tc>
          <w:tcPr>
            <w:tcW w:w="452" w:type="pct"/>
            <w:tcBorders>
              <w:top w:val="single" w:sz="4" w:space="0" w:color="95B3D7"/>
              <w:left w:val="single" w:sz="4" w:space="0" w:color="95B3D7"/>
              <w:bottom w:val="single" w:sz="4" w:space="0" w:color="95B3D7"/>
              <w:right w:val="nil"/>
            </w:tcBorders>
            <w:shd w:val="clear" w:color="000000" w:fill="4F81BD"/>
            <w:vAlign w:val="center"/>
          </w:tcPr>
          <w:p w14:paraId="6001FCFF"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591" w:type="pct"/>
            <w:tcBorders>
              <w:top w:val="single" w:sz="4" w:space="0" w:color="95B3D7"/>
              <w:left w:val="single" w:sz="4" w:space="0" w:color="95B3D7"/>
              <w:bottom w:val="single" w:sz="4" w:space="0" w:color="95B3D7"/>
              <w:right w:val="nil"/>
            </w:tcBorders>
            <w:shd w:val="clear" w:color="000000" w:fill="4F81BD"/>
            <w:noWrap/>
            <w:vAlign w:val="center"/>
            <w:hideMark/>
          </w:tcPr>
          <w:p w14:paraId="4753B1D5" w14:textId="77777777" w:rsidR="00E319B7" w:rsidRPr="00E02073" w:rsidRDefault="00E319B7" w:rsidP="00830E2B">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455" w:type="pct"/>
            <w:tcBorders>
              <w:top w:val="single" w:sz="4" w:space="0" w:color="95B3D7"/>
              <w:left w:val="nil"/>
              <w:bottom w:val="single" w:sz="4" w:space="0" w:color="95B3D7"/>
              <w:right w:val="nil"/>
            </w:tcBorders>
            <w:shd w:val="clear" w:color="000000" w:fill="4F81BD"/>
            <w:vAlign w:val="center"/>
            <w:hideMark/>
          </w:tcPr>
          <w:p w14:paraId="70DA0122"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c>
          <w:tcPr>
            <w:tcW w:w="454" w:type="pct"/>
            <w:tcBorders>
              <w:top w:val="single" w:sz="4" w:space="0" w:color="95B3D7"/>
              <w:left w:val="nil"/>
              <w:bottom w:val="single" w:sz="4" w:space="0" w:color="95B3D7"/>
              <w:right w:val="nil"/>
            </w:tcBorders>
            <w:shd w:val="clear" w:color="000000" w:fill="4F81BD"/>
            <w:noWrap/>
            <w:vAlign w:val="center"/>
            <w:hideMark/>
          </w:tcPr>
          <w:p w14:paraId="766A5D80"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7" w:type="pct"/>
            <w:tcBorders>
              <w:top w:val="single" w:sz="4" w:space="0" w:color="95B3D7"/>
              <w:left w:val="nil"/>
              <w:bottom w:val="single" w:sz="4" w:space="0" w:color="95B3D7"/>
              <w:right w:val="nil"/>
            </w:tcBorders>
            <w:shd w:val="clear" w:color="000000" w:fill="4F81BD"/>
            <w:noWrap/>
            <w:vAlign w:val="center"/>
            <w:hideMark/>
          </w:tcPr>
          <w:p w14:paraId="6991E3EB"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530" w:type="pct"/>
            <w:tcBorders>
              <w:top w:val="single" w:sz="4" w:space="0" w:color="95B3D7"/>
              <w:left w:val="nil"/>
              <w:bottom w:val="single" w:sz="4" w:space="0" w:color="95B3D7"/>
              <w:right w:val="nil"/>
            </w:tcBorders>
            <w:shd w:val="clear" w:color="000000" w:fill="4F81BD"/>
            <w:noWrap/>
            <w:vAlign w:val="center"/>
            <w:hideMark/>
          </w:tcPr>
          <w:p w14:paraId="1CE1A848"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180199F1"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94" w:type="pct"/>
            <w:tcBorders>
              <w:top w:val="single" w:sz="4" w:space="0" w:color="95B3D7"/>
              <w:left w:val="nil"/>
              <w:bottom w:val="single" w:sz="4" w:space="0" w:color="95B3D7"/>
              <w:right w:val="nil"/>
            </w:tcBorders>
            <w:shd w:val="clear" w:color="000000" w:fill="4F81BD"/>
            <w:vAlign w:val="center"/>
            <w:hideMark/>
          </w:tcPr>
          <w:p w14:paraId="107B667B" w14:textId="77777777" w:rsidR="00E319B7" w:rsidRPr="00E02073" w:rsidRDefault="00E319B7" w:rsidP="00830E2B">
            <w:pPr>
              <w:spacing w:after="0" w:line="240" w:lineRule="auto"/>
              <w:jc w:val="center"/>
              <w:rPr>
                <w:rFonts w:eastAsia="Times New Roman"/>
                <w:b/>
                <w:bCs/>
                <w:color w:val="FFFFFF"/>
                <w:sz w:val="16"/>
                <w:szCs w:val="16"/>
              </w:rPr>
            </w:pPr>
            <w:r w:rsidRPr="00E02073">
              <w:rPr>
                <w:rFonts w:eastAsia="Times New Roman"/>
                <w:b/>
                <w:bCs/>
                <w:color w:val="FFFFFF"/>
                <w:sz w:val="16"/>
                <w:szCs w:val="16"/>
              </w:rPr>
              <w:t>u</w:t>
            </w:r>
            <w:r w:rsidRPr="00E02073">
              <w:rPr>
                <w:rFonts w:eastAsia="Times New Roman"/>
                <w:b/>
                <w:bCs/>
                <w:color w:val="FFFFFF"/>
                <w:sz w:val="16"/>
                <w:szCs w:val="16"/>
                <w:vertAlign w:val="subscript"/>
              </w:rPr>
              <w:t>i</w:t>
            </w:r>
            <w:r w:rsidRPr="00E02073">
              <w:rPr>
                <w:rFonts w:eastAsia="Times New Roman"/>
                <w:b/>
                <w:bCs/>
                <w:color w:val="FFFFFF"/>
                <w:sz w:val="16"/>
                <w:szCs w:val="16"/>
              </w:rPr>
              <w:t xml:space="preserve"> (dB)</w:t>
            </w:r>
            <w:r w:rsidRPr="00E02073">
              <w:rPr>
                <w:rFonts w:eastAsia="Times New Roman"/>
                <w:b/>
                <w:bCs/>
                <w:color w:val="FFFFFF"/>
                <w:sz w:val="16"/>
                <w:szCs w:val="16"/>
              </w:rPr>
              <w:br/>
            </w:r>
            <w:r>
              <w:rPr>
                <w:rFonts w:eastAsia="Times New Roman"/>
                <w:b/>
                <w:bCs/>
                <w:color w:val="FFFFFF"/>
                <w:sz w:val="16"/>
                <w:szCs w:val="16"/>
              </w:rPr>
              <w:t xml:space="preserve">4.2 &lt; </w:t>
            </w:r>
            <w:r w:rsidRPr="00E02073">
              <w:rPr>
                <w:rFonts w:eastAsia="Times New Roman"/>
                <w:b/>
                <w:bCs/>
                <w:color w:val="FFFFFF"/>
                <w:sz w:val="16"/>
                <w:szCs w:val="16"/>
              </w:rPr>
              <w:t xml:space="preserve">f </w:t>
            </w:r>
            <w:r>
              <w:rPr>
                <w:rFonts w:eastAsia="Times New Roman"/>
                <w:b/>
                <w:bCs/>
                <w:color w:val="FFFFFF"/>
                <w:sz w:val="16"/>
                <w:szCs w:val="16"/>
              </w:rPr>
              <w:t>≤</w:t>
            </w:r>
            <w:r w:rsidRPr="00E02073">
              <w:rPr>
                <w:rFonts w:eastAsia="Times New Roman"/>
                <w:b/>
                <w:bCs/>
                <w:color w:val="FFFFFF"/>
                <w:sz w:val="16"/>
                <w:szCs w:val="16"/>
              </w:rPr>
              <w:t xml:space="preserve"> </w:t>
            </w:r>
            <w:r>
              <w:rPr>
                <w:rFonts w:eastAsia="Times New Roman"/>
                <w:b/>
                <w:bCs/>
                <w:color w:val="FFFFFF"/>
                <w:sz w:val="16"/>
                <w:szCs w:val="16"/>
              </w:rPr>
              <w:t>6</w:t>
            </w:r>
            <w:r w:rsidRPr="00E02073">
              <w:rPr>
                <w:rFonts w:eastAsia="Times New Roman"/>
                <w:b/>
                <w:bCs/>
                <w:color w:val="FFFFFF"/>
                <w:sz w:val="16"/>
                <w:szCs w:val="16"/>
              </w:rPr>
              <w:t xml:space="preserve"> GHz</w:t>
            </w:r>
          </w:p>
        </w:tc>
      </w:tr>
      <w:tr w:rsidR="00E319B7" w:rsidRPr="00E02073" w14:paraId="44E7570B" w14:textId="77777777" w:rsidTr="00830E2B">
        <w:trPr>
          <w:trHeight w:val="255"/>
        </w:trPr>
        <w:tc>
          <w:tcPr>
            <w:tcW w:w="452" w:type="pct"/>
            <w:tcBorders>
              <w:top w:val="single" w:sz="4" w:space="0" w:color="95B3D7"/>
              <w:left w:val="single" w:sz="4" w:space="0" w:color="95B3D7"/>
              <w:bottom w:val="single" w:sz="4" w:space="0" w:color="95B3D7"/>
              <w:right w:val="nil"/>
            </w:tcBorders>
            <w:shd w:val="clear" w:color="DCE6F1" w:fill="DCE6F1"/>
            <w:vAlign w:val="center"/>
          </w:tcPr>
          <w:p w14:paraId="38EA4EB7" w14:textId="77777777" w:rsidR="00E319B7" w:rsidRPr="00E02073" w:rsidRDefault="00E319B7" w:rsidP="00E319B7">
            <w:pPr>
              <w:spacing w:after="0" w:line="240" w:lineRule="auto"/>
              <w:jc w:val="center"/>
              <w:rPr>
                <w:color w:val="000000"/>
                <w:sz w:val="16"/>
                <w:szCs w:val="16"/>
              </w:rPr>
            </w:pPr>
            <w:r>
              <w:rPr>
                <w:color w:val="000000"/>
                <w:sz w:val="16"/>
                <w:szCs w:val="16"/>
              </w:rPr>
              <w:t>A7-14</w:t>
            </w:r>
          </w:p>
        </w:tc>
        <w:tc>
          <w:tcPr>
            <w:tcW w:w="1591" w:type="pct"/>
            <w:tcBorders>
              <w:top w:val="single" w:sz="4" w:space="0" w:color="95B3D7"/>
              <w:left w:val="single" w:sz="4" w:space="0" w:color="95B3D7"/>
              <w:bottom w:val="single" w:sz="4" w:space="0" w:color="95B3D7"/>
              <w:right w:val="nil"/>
            </w:tcBorders>
            <w:shd w:val="clear" w:color="DCE6F1" w:fill="DCE6F1"/>
            <w:noWrap/>
            <w:vAlign w:val="center"/>
            <w:hideMark/>
          </w:tcPr>
          <w:p w14:paraId="0FDA92F5" w14:textId="435E3238" w:rsidR="00E319B7" w:rsidRPr="00E02073" w:rsidRDefault="00E319B7" w:rsidP="00E319B7">
            <w:pPr>
              <w:spacing w:after="0" w:line="240" w:lineRule="auto"/>
              <w:rPr>
                <w:color w:val="000000"/>
                <w:sz w:val="16"/>
                <w:szCs w:val="16"/>
              </w:rPr>
            </w:pPr>
            <w:r w:rsidRPr="002A58FD">
              <w:rPr>
                <w:color w:val="000000"/>
                <w:sz w:val="16"/>
                <w:szCs w:val="16"/>
              </w:rPr>
              <w:t>Field calibration repeatability</w:t>
            </w:r>
          </w:p>
        </w:tc>
        <w:tc>
          <w:tcPr>
            <w:tcW w:w="455" w:type="pct"/>
            <w:tcBorders>
              <w:top w:val="single" w:sz="4" w:space="0" w:color="95B3D7"/>
              <w:left w:val="nil"/>
              <w:bottom w:val="single" w:sz="4" w:space="0" w:color="95B3D7"/>
              <w:right w:val="nil"/>
            </w:tcBorders>
            <w:shd w:val="clear" w:color="DCE6F1" w:fill="DCE6F1"/>
            <w:noWrap/>
            <w:vAlign w:val="center"/>
            <w:hideMark/>
          </w:tcPr>
          <w:p w14:paraId="4F4477A0" w14:textId="77777777" w:rsidR="00E319B7" w:rsidRPr="00E02073" w:rsidRDefault="00E319B7" w:rsidP="00E319B7">
            <w:pPr>
              <w:spacing w:after="0" w:line="240" w:lineRule="auto"/>
              <w:jc w:val="center"/>
              <w:rPr>
                <w:rFonts w:eastAsia="Times New Roman"/>
                <w:sz w:val="16"/>
                <w:szCs w:val="16"/>
                <w:lang w:eastAsia="en-US"/>
              </w:rPr>
            </w:pPr>
            <w:r>
              <w:rPr>
                <w:rFonts w:eastAsia="Times New Roman"/>
                <w:sz w:val="16"/>
                <w:szCs w:val="16"/>
                <w:lang w:eastAsia="en-US"/>
              </w:rPr>
              <w:t>0.15</w:t>
            </w:r>
          </w:p>
        </w:tc>
        <w:tc>
          <w:tcPr>
            <w:tcW w:w="454" w:type="pct"/>
            <w:tcBorders>
              <w:top w:val="single" w:sz="4" w:space="0" w:color="95B3D7"/>
              <w:left w:val="nil"/>
              <w:bottom w:val="single" w:sz="4" w:space="0" w:color="95B3D7"/>
              <w:right w:val="nil"/>
            </w:tcBorders>
            <w:shd w:val="clear" w:color="DCE6F1" w:fill="DCE6F1"/>
            <w:noWrap/>
            <w:vAlign w:val="center"/>
            <w:hideMark/>
          </w:tcPr>
          <w:p w14:paraId="10AE1EED" w14:textId="77777777" w:rsidR="00E319B7" w:rsidRPr="00E02073" w:rsidRDefault="00E319B7" w:rsidP="00E319B7">
            <w:pPr>
              <w:spacing w:after="0" w:line="240" w:lineRule="auto"/>
              <w:jc w:val="center"/>
              <w:rPr>
                <w:rFonts w:eastAsia="Times New Roman"/>
                <w:color w:val="000000"/>
                <w:sz w:val="16"/>
                <w:szCs w:val="16"/>
              </w:rPr>
            </w:pPr>
            <w:r w:rsidRPr="00E02073">
              <w:rPr>
                <w:color w:val="000000"/>
                <w:sz w:val="16"/>
                <w:szCs w:val="16"/>
              </w:rPr>
              <w:t>dB</w:t>
            </w:r>
          </w:p>
        </w:tc>
        <w:tc>
          <w:tcPr>
            <w:tcW w:w="607" w:type="pct"/>
            <w:tcBorders>
              <w:top w:val="single" w:sz="4" w:space="0" w:color="95B3D7"/>
              <w:left w:val="nil"/>
              <w:bottom w:val="single" w:sz="4" w:space="0" w:color="95B3D7"/>
              <w:right w:val="nil"/>
            </w:tcBorders>
            <w:shd w:val="clear" w:color="DCE6F1" w:fill="DCE6F1"/>
            <w:noWrap/>
            <w:vAlign w:val="center"/>
            <w:hideMark/>
          </w:tcPr>
          <w:p w14:paraId="02E52FDC" w14:textId="6E7BD7D8" w:rsidR="00E319B7" w:rsidRPr="00E02073" w:rsidRDefault="00E319B7" w:rsidP="00E319B7">
            <w:pPr>
              <w:spacing w:after="0" w:line="240" w:lineRule="auto"/>
              <w:jc w:val="center"/>
              <w:rPr>
                <w:rFonts w:eastAsia="Times New Roman"/>
                <w:color w:val="000000"/>
                <w:sz w:val="16"/>
                <w:szCs w:val="16"/>
              </w:rPr>
            </w:pPr>
            <w:r w:rsidRPr="002A58FD">
              <w:rPr>
                <w:color w:val="000000"/>
                <w:sz w:val="16"/>
                <w:szCs w:val="16"/>
              </w:rPr>
              <w:t>Normal</w:t>
            </w:r>
          </w:p>
        </w:tc>
        <w:tc>
          <w:tcPr>
            <w:tcW w:w="530" w:type="pct"/>
            <w:tcBorders>
              <w:top w:val="single" w:sz="4" w:space="0" w:color="95B3D7"/>
              <w:left w:val="nil"/>
              <w:bottom w:val="single" w:sz="4" w:space="0" w:color="95B3D7"/>
              <w:right w:val="nil"/>
            </w:tcBorders>
            <w:shd w:val="clear" w:color="DCE6F1" w:fill="DCE6F1"/>
            <w:noWrap/>
            <w:vAlign w:val="center"/>
            <w:hideMark/>
          </w:tcPr>
          <w:p w14:paraId="2D69C285" w14:textId="4C2AD1A1" w:rsidR="00E319B7" w:rsidRPr="00E02073" w:rsidRDefault="00E319B7" w:rsidP="00E319B7">
            <w:pPr>
              <w:spacing w:after="0" w:line="240" w:lineRule="auto"/>
              <w:jc w:val="center"/>
              <w:rPr>
                <w:rFonts w:eastAsia="Times New Roman"/>
                <w:color w:val="000000"/>
                <w:sz w:val="16"/>
                <w:szCs w:val="16"/>
              </w:rPr>
            </w:pPr>
            <w:r w:rsidRPr="002A58FD">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4D58399E" w14:textId="4C89BEF5" w:rsidR="00E319B7" w:rsidRPr="00E02073" w:rsidRDefault="00E319B7" w:rsidP="00E319B7">
            <w:pPr>
              <w:spacing w:after="0" w:line="240" w:lineRule="auto"/>
              <w:jc w:val="center"/>
              <w:rPr>
                <w:rFonts w:eastAsia="Times New Roman"/>
                <w:color w:val="000000"/>
                <w:sz w:val="16"/>
                <w:szCs w:val="16"/>
              </w:rPr>
            </w:pPr>
            <w:r w:rsidRPr="002A58FD">
              <w:rPr>
                <w:color w:val="000000"/>
                <w:sz w:val="16"/>
                <w:szCs w:val="16"/>
              </w:rPr>
              <w:t>1</w:t>
            </w:r>
          </w:p>
        </w:tc>
        <w:tc>
          <w:tcPr>
            <w:tcW w:w="494" w:type="pct"/>
            <w:tcBorders>
              <w:top w:val="single" w:sz="4" w:space="0" w:color="95B3D7"/>
              <w:left w:val="nil"/>
              <w:bottom w:val="single" w:sz="4" w:space="0" w:color="95B3D7"/>
              <w:right w:val="nil"/>
            </w:tcBorders>
            <w:shd w:val="clear" w:color="DCE6F1" w:fill="DCE6F1"/>
            <w:noWrap/>
            <w:vAlign w:val="center"/>
            <w:hideMark/>
          </w:tcPr>
          <w:p w14:paraId="4CA72FF3" w14:textId="12D6792F" w:rsidR="00E319B7" w:rsidRPr="00E02073" w:rsidRDefault="00E319B7" w:rsidP="00E319B7">
            <w:pPr>
              <w:spacing w:after="0" w:line="240" w:lineRule="auto"/>
              <w:jc w:val="center"/>
              <w:rPr>
                <w:color w:val="000000"/>
                <w:sz w:val="16"/>
                <w:szCs w:val="16"/>
              </w:rPr>
            </w:pPr>
            <w:r>
              <w:rPr>
                <w:color w:val="000000"/>
                <w:sz w:val="16"/>
                <w:szCs w:val="16"/>
              </w:rPr>
              <w:t>0.15</w:t>
            </w:r>
          </w:p>
        </w:tc>
      </w:tr>
    </w:tbl>
    <w:p w14:paraId="1188353B" w14:textId="16877974" w:rsidR="008446EC" w:rsidRPr="00E02073" w:rsidRDefault="008446EC">
      <w:pPr>
        <w:spacing w:after="0" w:line="240" w:lineRule="auto"/>
        <w:rPr>
          <w:rFonts w:cs="Times New Roman"/>
          <w:b/>
          <w:sz w:val="28"/>
          <w:szCs w:val="20"/>
          <w:lang w:eastAsia="en-US"/>
        </w:rPr>
      </w:pPr>
    </w:p>
    <w:p w14:paraId="2303DFE5" w14:textId="2325E3CD" w:rsidR="00231DCF" w:rsidRPr="00E02073" w:rsidRDefault="00231DCF" w:rsidP="00C206DF">
      <w:pPr>
        <w:pStyle w:val="Heading1"/>
        <w:rPr>
          <w:lang w:val="en-US"/>
        </w:rPr>
      </w:pPr>
      <w:r w:rsidRPr="00E02073">
        <w:rPr>
          <w:lang w:val="en-US"/>
        </w:rPr>
        <w:t>Conclusion</w:t>
      </w:r>
    </w:p>
    <w:p w14:paraId="410C289F" w14:textId="77777777" w:rsidR="00C74FBC" w:rsidRDefault="009F7963" w:rsidP="009746F4">
      <w:pPr>
        <w:jc w:val="both"/>
        <w:rPr>
          <w:lang w:eastAsia="en-US"/>
        </w:rPr>
      </w:pPr>
      <w:r w:rsidRPr="00E02073">
        <w:rPr>
          <w:lang w:eastAsia="en-US"/>
        </w:rPr>
        <w:t xml:space="preserve">In this contribution, </w:t>
      </w:r>
      <w:r w:rsidR="00C74FBC">
        <w:rPr>
          <w:lang w:eastAsia="en-US"/>
        </w:rPr>
        <w:t xml:space="preserve">proposed values for </w:t>
      </w:r>
      <w:r w:rsidRPr="00E02073">
        <w:rPr>
          <w:lang w:eastAsia="en-US"/>
        </w:rPr>
        <w:t>the</w:t>
      </w:r>
      <w:r w:rsidR="001A0F3C">
        <w:rPr>
          <w:lang w:eastAsia="en-US"/>
        </w:rPr>
        <w:t xml:space="preserve"> pending </w:t>
      </w:r>
      <w:r w:rsidR="003D3FB9" w:rsidRPr="00E02073">
        <w:rPr>
          <w:lang w:eastAsia="en-US"/>
        </w:rPr>
        <w:t xml:space="preserve">MU </w:t>
      </w:r>
      <w:r w:rsidR="001A0F3C">
        <w:rPr>
          <w:lang w:eastAsia="en-US"/>
        </w:rPr>
        <w:t xml:space="preserve">terms </w:t>
      </w:r>
      <w:r w:rsidRPr="00E02073">
        <w:rPr>
          <w:lang w:eastAsia="en-US"/>
        </w:rPr>
        <w:t xml:space="preserve">for the </w:t>
      </w:r>
      <w:r w:rsidR="001A0F3C">
        <w:rPr>
          <w:lang w:eastAsia="en-US"/>
        </w:rPr>
        <w:t>Plane Wave Synthesizer</w:t>
      </w:r>
      <w:r w:rsidRPr="00E02073">
        <w:rPr>
          <w:lang w:eastAsia="en-US"/>
        </w:rPr>
        <w:t xml:space="preserve"> has been provided</w:t>
      </w:r>
      <w:r w:rsidR="00C74FBC">
        <w:rPr>
          <w:lang w:eastAsia="en-US"/>
        </w:rPr>
        <w:t xml:space="preserve"> to finalize the MU for 4.2GHz to 6GHz frequency range.</w:t>
      </w:r>
      <w:r w:rsidRPr="00E02073">
        <w:rPr>
          <w:lang w:eastAsia="en-US"/>
        </w:rPr>
        <w:t xml:space="preserve"> </w:t>
      </w:r>
    </w:p>
    <w:p w14:paraId="47FF60C5" w14:textId="58432FB4" w:rsidR="009746F4" w:rsidRPr="00E02073" w:rsidRDefault="00C74FBC" w:rsidP="009746F4">
      <w:pPr>
        <w:jc w:val="both"/>
        <w:rPr>
          <w:lang w:eastAsia="en-US"/>
        </w:rPr>
      </w:pPr>
      <w:r>
        <w:rPr>
          <w:lang w:eastAsia="en-US"/>
        </w:rPr>
        <w:t>The corresponding changes to TR 37.941</w:t>
      </w:r>
      <w:r w:rsidR="00377AA7">
        <w:rPr>
          <w:lang w:eastAsia="en-US"/>
        </w:rPr>
        <w:t xml:space="preserve"> </w:t>
      </w:r>
      <w:r w:rsidR="00377AA7">
        <w:rPr>
          <w:lang w:eastAsia="en-US"/>
        </w:rPr>
        <w:fldChar w:fldCharType="begin"/>
      </w:r>
      <w:r w:rsidR="00377AA7">
        <w:rPr>
          <w:lang w:eastAsia="en-US"/>
        </w:rPr>
        <w:instrText xml:space="preserve"> REF _Ref47708830 \r \h </w:instrText>
      </w:r>
      <w:r w:rsidR="00377AA7">
        <w:rPr>
          <w:lang w:eastAsia="en-US"/>
        </w:rPr>
      </w:r>
      <w:r w:rsidR="00377AA7">
        <w:rPr>
          <w:lang w:eastAsia="en-US"/>
        </w:rPr>
        <w:fldChar w:fldCharType="separate"/>
      </w:r>
      <w:r w:rsidR="00705836">
        <w:rPr>
          <w:lang w:eastAsia="en-US"/>
        </w:rPr>
        <w:t>[1]</w:t>
      </w:r>
      <w:r w:rsidR="00377AA7">
        <w:rPr>
          <w:lang w:eastAsia="en-US"/>
        </w:rPr>
        <w:fldChar w:fldCharType="end"/>
      </w:r>
      <w:r>
        <w:rPr>
          <w:lang w:eastAsia="en-US"/>
        </w:rPr>
        <w:t xml:space="preserve"> are provided in the separate CR</w:t>
      </w:r>
      <w:r w:rsidR="00377AA7">
        <w:rPr>
          <w:lang w:eastAsia="en-US"/>
        </w:rPr>
        <w:t xml:space="preserve"> </w:t>
      </w:r>
      <w:r w:rsidR="00377AA7">
        <w:rPr>
          <w:lang w:eastAsia="en-US"/>
        </w:rPr>
        <w:fldChar w:fldCharType="begin"/>
      </w:r>
      <w:r w:rsidR="00377AA7">
        <w:rPr>
          <w:lang w:eastAsia="en-US"/>
        </w:rPr>
        <w:instrText xml:space="preserve"> REF _Ref54375495 \r \h </w:instrText>
      </w:r>
      <w:r w:rsidR="00377AA7">
        <w:rPr>
          <w:lang w:eastAsia="en-US"/>
        </w:rPr>
      </w:r>
      <w:r w:rsidR="00377AA7">
        <w:rPr>
          <w:lang w:eastAsia="en-US"/>
        </w:rPr>
        <w:fldChar w:fldCharType="separate"/>
      </w:r>
      <w:r w:rsidR="00705836">
        <w:rPr>
          <w:lang w:eastAsia="en-US"/>
        </w:rPr>
        <w:t>[2]</w:t>
      </w:r>
      <w:r w:rsidR="00377AA7">
        <w:rPr>
          <w:lang w:eastAsia="en-US"/>
        </w:rPr>
        <w:fldChar w:fldCharType="end"/>
      </w:r>
      <w:r w:rsidR="00377AA7">
        <w:rPr>
          <w:lang w:eastAsia="en-US"/>
        </w:rPr>
        <w:t xml:space="preserve"> and </w:t>
      </w:r>
      <w:r w:rsidR="00377AA7">
        <w:rPr>
          <w:lang w:eastAsia="en-US"/>
        </w:rPr>
        <w:fldChar w:fldCharType="begin"/>
      </w:r>
      <w:r w:rsidR="00377AA7">
        <w:rPr>
          <w:lang w:eastAsia="en-US"/>
        </w:rPr>
        <w:instrText xml:space="preserve"> REF _Ref54375496 \r \h </w:instrText>
      </w:r>
      <w:r w:rsidR="00377AA7">
        <w:rPr>
          <w:lang w:eastAsia="en-US"/>
        </w:rPr>
      </w:r>
      <w:r w:rsidR="00377AA7">
        <w:rPr>
          <w:lang w:eastAsia="en-US"/>
        </w:rPr>
        <w:fldChar w:fldCharType="separate"/>
      </w:r>
      <w:r w:rsidR="00705836">
        <w:rPr>
          <w:lang w:eastAsia="en-US"/>
        </w:rPr>
        <w:t>[3]</w:t>
      </w:r>
      <w:r w:rsidR="00377AA7">
        <w:rPr>
          <w:lang w:eastAsia="en-US"/>
        </w:rPr>
        <w:fldChar w:fldCharType="end"/>
      </w:r>
      <w:r w:rsidR="009746F4" w:rsidRPr="00E02073">
        <w:rPr>
          <w:lang w:eastAsia="en-US"/>
        </w:rPr>
        <w:t>.</w:t>
      </w:r>
    </w:p>
    <w:p w14:paraId="3FC19F45" w14:textId="6DA5AAAB" w:rsidR="006C16F1" w:rsidRPr="00E02073" w:rsidRDefault="006C16F1" w:rsidP="006C16F1">
      <w:pPr>
        <w:pStyle w:val="Heading1"/>
        <w:rPr>
          <w:lang w:val="en-US"/>
        </w:rPr>
      </w:pPr>
      <w:r w:rsidRPr="00E02073">
        <w:rPr>
          <w:lang w:val="en-US"/>
        </w:rPr>
        <w:t>References</w:t>
      </w:r>
    </w:p>
    <w:p w14:paraId="141E049B" w14:textId="434E2509" w:rsidR="008F1055" w:rsidRPr="006E2F6A" w:rsidRDefault="008F1055" w:rsidP="008F1055">
      <w:pPr>
        <w:pStyle w:val="ListParagraph"/>
        <w:numPr>
          <w:ilvl w:val="0"/>
          <w:numId w:val="4"/>
        </w:numPr>
        <w:spacing w:after="0" w:line="240" w:lineRule="auto"/>
        <w:rPr>
          <w:lang w:val="en-GB"/>
        </w:rPr>
      </w:pPr>
      <w:bookmarkStart w:id="25" w:name="_Ref47708830"/>
      <w:bookmarkStart w:id="26" w:name="_Ref16672511"/>
      <w:r w:rsidRPr="006E2F6A">
        <w:rPr>
          <w:lang w:val="en-GB"/>
        </w:rPr>
        <w:t>3GPP TR 37.</w:t>
      </w:r>
      <w:r>
        <w:rPr>
          <w:lang w:val="en-GB"/>
        </w:rPr>
        <w:t>941 v15.1</w:t>
      </w:r>
      <w:r w:rsidRPr="006E2F6A">
        <w:rPr>
          <w:lang w:val="en-GB"/>
        </w:rPr>
        <w:t>.0 (2020-</w:t>
      </w:r>
      <w:r>
        <w:rPr>
          <w:lang w:val="en-GB"/>
        </w:rPr>
        <w:t>09</w:t>
      </w:r>
      <w:r w:rsidRPr="006E2F6A">
        <w:rPr>
          <w:lang w:val="en-GB"/>
        </w:rPr>
        <w:t>)</w:t>
      </w:r>
      <w:bookmarkEnd w:id="25"/>
    </w:p>
    <w:p w14:paraId="68E1C9FD" w14:textId="4993ED83" w:rsidR="00705836" w:rsidRPr="00016C07" w:rsidRDefault="00705836" w:rsidP="00705836">
      <w:pPr>
        <w:pStyle w:val="ListParagraph"/>
        <w:numPr>
          <w:ilvl w:val="0"/>
          <w:numId w:val="4"/>
        </w:numPr>
        <w:spacing w:after="0" w:line="240" w:lineRule="auto"/>
        <w:rPr>
          <w:lang w:val="en-US"/>
        </w:rPr>
      </w:pPr>
      <w:bookmarkStart w:id="27" w:name="_Ref54375076"/>
      <w:bookmarkStart w:id="28" w:name="_Ref54375495"/>
      <w:r>
        <w:t>R4-2016466</w:t>
      </w:r>
      <w:r>
        <w:t xml:space="preserve">, </w:t>
      </w:r>
      <w:r w:rsidRPr="008A6A9C">
        <w:rPr>
          <w:lang w:val="en-US"/>
        </w:rPr>
        <w:t>“</w:t>
      </w:r>
      <w:r w:rsidRPr="00705836">
        <w:rPr>
          <w:lang w:val="en-US"/>
        </w:rPr>
        <w:t>CR to TR 37.941:</w:t>
      </w:r>
      <w:r>
        <w:rPr>
          <w:lang w:val="en-US"/>
        </w:rPr>
        <w:t xml:space="preserve"> Completion of MU terms for PWS”, </w:t>
      </w:r>
      <w:bookmarkEnd w:id="28"/>
      <w:r w:rsidRPr="008A6A9C">
        <w:rPr>
          <w:rFonts w:cs="Arial"/>
          <w:lang w:val="en-US"/>
        </w:rPr>
        <w:t>Rohde &amp; Schwarz</w:t>
      </w:r>
      <w:r w:rsidRPr="008A6A9C">
        <w:rPr>
          <w:lang w:val="en-US"/>
        </w:rPr>
        <w:t xml:space="preserve">, </w:t>
      </w:r>
      <w:r w:rsidRPr="008A6A9C">
        <w:rPr>
          <w:rFonts w:cs="Arial"/>
          <w:lang w:val="en-US"/>
        </w:rPr>
        <w:t>RAN4#9</w:t>
      </w:r>
      <w:r>
        <w:rPr>
          <w:rFonts w:cs="Arial"/>
          <w:lang w:val="en-US"/>
        </w:rPr>
        <w:t>7-e</w:t>
      </w:r>
      <w:r w:rsidRPr="008A6A9C">
        <w:rPr>
          <w:rFonts w:cs="Arial"/>
          <w:lang w:val="en-US"/>
        </w:rPr>
        <w:t xml:space="preserve">, </w:t>
      </w:r>
      <w:r>
        <w:rPr>
          <w:rFonts w:cs="Arial"/>
          <w:lang w:val="en-US"/>
        </w:rPr>
        <w:t>November 2020</w:t>
      </w:r>
    </w:p>
    <w:p w14:paraId="3CC47123" w14:textId="57EE5861" w:rsidR="00016C07" w:rsidRDefault="00705836" w:rsidP="00705836">
      <w:pPr>
        <w:pStyle w:val="ListParagraph"/>
        <w:numPr>
          <w:ilvl w:val="0"/>
          <w:numId w:val="4"/>
        </w:numPr>
        <w:spacing w:after="0" w:line="240" w:lineRule="auto"/>
        <w:rPr>
          <w:lang w:val="en-US"/>
        </w:rPr>
      </w:pPr>
      <w:bookmarkStart w:id="29" w:name="_Ref54375496"/>
      <w:r w:rsidRPr="00705836">
        <w:rPr>
          <w:lang w:val="en-US"/>
        </w:rPr>
        <w:t>R4-2016467</w:t>
      </w:r>
      <w:r>
        <w:rPr>
          <w:lang w:val="en-US"/>
        </w:rPr>
        <w:t>, “</w:t>
      </w:r>
      <w:bookmarkEnd w:id="29"/>
      <w:r>
        <w:rPr>
          <w:lang w:val="en-US"/>
        </w:rPr>
        <w:t xml:space="preserve">Mirror </w:t>
      </w:r>
      <w:r w:rsidRPr="00705836">
        <w:rPr>
          <w:lang w:val="en-US"/>
        </w:rPr>
        <w:t>CR to TR 37.941:</w:t>
      </w:r>
      <w:r>
        <w:rPr>
          <w:lang w:val="en-US"/>
        </w:rPr>
        <w:t xml:space="preserve"> Completion of MU terms for PWS</w:t>
      </w:r>
      <w:r>
        <w:rPr>
          <w:lang w:val="en-US"/>
        </w:rPr>
        <w:t xml:space="preserve">”, </w:t>
      </w:r>
      <w:r w:rsidRPr="008A6A9C">
        <w:rPr>
          <w:rFonts w:cs="Arial"/>
          <w:lang w:val="en-US"/>
        </w:rPr>
        <w:t>Rohde &amp; Schwarz</w:t>
      </w:r>
      <w:r w:rsidRPr="008A6A9C">
        <w:rPr>
          <w:lang w:val="en-US"/>
        </w:rPr>
        <w:t xml:space="preserve">, </w:t>
      </w:r>
      <w:r w:rsidRPr="008A6A9C">
        <w:rPr>
          <w:rFonts w:cs="Arial"/>
          <w:lang w:val="en-US"/>
        </w:rPr>
        <w:t>RAN4#9</w:t>
      </w:r>
      <w:r>
        <w:rPr>
          <w:rFonts w:cs="Arial"/>
          <w:lang w:val="en-US"/>
        </w:rPr>
        <w:t>7-e</w:t>
      </w:r>
      <w:r w:rsidRPr="008A6A9C">
        <w:rPr>
          <w:rFonts w:cs="Arial"/>
          <w:lang w:val="en-US"/>
        </w:rPr>
        <w:t xml:space="preserve">, </w:t>
      </w:r>
      <w:r>
        <w:rPr>
          <w:rFonts w:cs="Arial"/>
          <w:lang w:val="en-US"/>
        </w:rPr>
        <w:t>November 2020</w:t>
      </w:r>
    </w:p>
    <w:p w14:paraId="0196E7D7" w14:textId="0A2437CA" w:rsidR="008F1055" w:rsidRPr="00016C07" w:rsidRDefault="008A6A9C" w:rsidP="00705836">
      <w:pPr>
        <w:pStyle w:val="ListParagraph"/>
        <w:numPr>
          <w:ilvl w:val="0"/>
          <w:numId w:val="4"/>
        </w:numPr>
        <w:spacing w:after="0" w:line="240" w:lineRule="auto"/>
        <w:rPr>
          <w:lang w:val="en-US"/>
        </w:rPr>
      </w:pPr>
      <w:bookmarkStart w:id="30" w:name="_Ref54375231"/>
      <w:r w:rsidRPr="008A6A9C">
        <w:rPr>
          <w:lang w:val="en-US"/>
        </w:rPr>
        <w:t xml:space="preserve">R4-1907993, “2D Compact Range for BS Testing – MU budget analysis”, </w:t>
      </w:r>
      <w:r w:rsidRPr="008A6A9C">
        <w:rPr>
          <w:rFonts w:cs="Arial"/>
          <w:lang w:val="en-US"/>
        </w:rPr>
        <w:t>Rohde &amp; Schwarz</w:t>
      </w:r>
      <w:r w:rsidRPr="008A6A9C">
        <w:rPr>
          <w:lang w:val="en-US"/>
        </w:rPr>
        <w:t xml:space="preserve">, </w:t>
      </w:r>
      <w:r w:rsidRPr="008A6A9C">
        <w:rPr>
          <w:rFonts w:cs="Arial"/>
          <w:lang w:val="en-US"/>
        </w:rPr>
        <w:t>RAN4#92, August 2019</w:t>
      </w:r>
      <w:bookmarkEnd w:id="27"/>
      <w:bookmarkEnd w:id="30"/>
    </w:p>
    <w:p w14:paraId="23F2FDFC" w14:textId="4F62EEE0" w:rsidR="00016C07" w:rsidRPr="00016C07" w:rsidRDefault="00016C07" w:rsidP="00016C07">
      <w:pPr>
        <w:pStyle w:val="ListParagraph"/>
        <w:numPr>
          <w:ilvl w:val="0"/>
          <w:numId w:val="4"/>
        </w:numPr>
        <w:spacing w:after="0" w:line="240" w:lineRule="auto"/>
        <w:rPr>
          <w:lang w:val="en-US"/>
        </w:rPr>
      </w:pPr>
      <w:bookmarkStart w:id="31" w:name="_Ref54375254"/>
      <w:r w:rsidRPr="00016C07">
        <w:rPr>
          <w:lang w:val="en-US"/>
        </w:rPr>
        <w:t>R4-1914796</w:t>
      </w:r>
      <w:r>
        <w:rPr>
          <w:lang w:val="en-US"/>
        </w:rPr>
        <w:t>, “</w:t>
      </w:r>
      <w:r w:rsidRPr="00016C07">
        <w:rPr>
          <w:lang w:val="en-US"/>
        </w:rPr>
        <w:t>Plane Wave Synthesizer – Pending MU terms</w:t>
      </w:r>
      <w:r>
        <w:rPr>
          <w:lang w:val="en-US"/>
        </w:rPr>
        <w:t xml:space="preserve">”, </w:t>
      </w:r>
      <w:r w:rsidRPr="008A6A9C">
        <w:rPr>
          <w:rFonts w:cs="Arial"/>
          <w:lang w:val="en-US"/>
        </w:rPr>
        <w:t>Rohde &amp; Schwarz</w:t>
      </w:r>
      <w:r w:rsidRPr="008A6A9C">
        <w:rPr>
          <w:lang w:val="en-US"/>
        </w:rPr>
        <w:t xml:space="preserve">, </w:t>
      </w:r>
      <w:r w:rsidRPr="008A6A9C">
        <w:rPr>
          <w:rFonts w:cs="Arial"/>
          <w:lang w:val="en-US"/>
        </w:rPr>
        <w:t>RAN4#9</w:t>
      </w:r>
      <w:r>
        <w:rPr>
          <w:rFonts w:cs="Arial"/>
          <w:lang w:val="en-US"/>
        </w:rPr>
        <w:t>3</w:t>
      </w:r>
      <w:r w:rsidRPr="008A6A9C">
        <w:rPr>
          <w:rFonts w:cs="Arial"/>
          <w:lang w:val="en-US"/>
        </w:rPr>
        <w:t xml:space="preserve">, </w:t>
      </w:r>
      <w:r>
        <w:rPr>
          <w:rFonts w:cs="Arial"/>
          <w:lang w:val="en-US"/>
        </w:rPr>
        <w:t xml:space="preserve">November </w:t>
      </w:r>
      <w:r w:rsidRPr="008A6A9C">
        <w:rPr>
          <w:rFonts w:cs="Arial"/>
          <w:lang w:val="en-US"/>
        </w:rPr>
        <w:t>2019</w:t>
      </w:r>
      <w:bookmarkEnd w:id="31"/>
    </w:p>
    <w:p w14:paraId="2172EBC8" w14:textId="35E1A2FE" w:rsidR="00016C07" w:rsidRPr="00016C07" w:rsidRDefault="00016C07" w:rsidP="00016C07">
      <w:pPr>
        <w:pStyle w:val="ListParagraph"/>
        <w:numPr>
          <w:ilvl w:val="0"/>
          <w:numId w:val="4"/>
        </w:numPr>
        <w:spacing w:after="0" w:line="240" w:lineRule="auto"/>
        <w:rPr>
          <w:lang w:val="en-US"/>
        </w:rPr>
      </w:pPr>
      <w:bookmarkStart w:id="32" w:name="_Ref54375404"/>
      <w:r w:rsidRPr="00016C07">
        <w:rPr>
          <w:lang w:val="en-US"/>
        </w:rPr>
        <w:t>R4-2011203</w:t>
      </w:r>
      <w:r>
        <w:rPr>
          <w:lang w:val="en-US"/>
        </w:rPr>
        <w:t>, “</w:t>
      </w:r>
      <w:r w:rsidRPr="00016C07">
        <w:rPr>
          <w:lang w:val="en-US"/>
        </w:rPr>
        <w:t>Plane Wave Synthesizer – Pending MU term</w:t>
      </w:r>
      <w:r>
        <w:rPr>
          <w:lang w:val="en-US"/>
        </w:rPr>
        <w:t xml:space="preserve">”, </w:t>
      </w:r>
      <w:r w:rsidRPr="008A6A9C">
        <w:rPr>
          <w:rFonts w:cs="Arial"/>
          <w:lang w:val="en-US"/>
        </w:rPr>
        <w:t>Rohde &amp; Schwarz</w:t>
      </w:r>
      <w:r w:rsidRPr="008A6A9C">
        <w:rPr>
          <w:lang w:val="en-US"/>
        </w:rPr>
        <w:t xml:space="preserve">, </w:t>
      </w:r>
      <w:r w:rsidRPr="008A6A9C">
        <w:rPr>
          <w:rFonts w:cs="Arial"/>
          <w:lang w:val="en-US"/>
        </w:rPr>
        <w:t>RAN4#9</w:t>
      </w:r>
      <w:r>
        <w:rPr>
          <w:rFonts w:cs="Arial"/>
          <w:lang w:val="en-US"/>
        </w:rPr>
        <w:t>6-e</w:t>
      </w:r>
      <w:r w:rsidRPr="008A6A9C">
        <w:rPr>
          <w:rFonts w:cs="Arial"/>
          <w:lang w:val="en-US"/>
        </w:rPr>
        <w:t xml:space="preserve">, </w:t>
      </w:r>
      <w:r>
        <w:rPr>
          <w:rFonts w:cs="Arial"/>
          <w:lang w:val="en-US"/>
        </w:rPr>
        <w:t>August</w:t>
      </w:r>
      <w:r>
        <w:rPr>
          <w:rFonts w:cs="Arial"/>
          <w:lang w:val="en-US"/>
        </w:rPr>
        <w:t xml:space="preserve"> </w:t>
      </w:r>
      <w:r w:rsidRPr="008A6A9C">
        <w:rPr>
          <w:rFonts w:cs="Arial"/>
          <w:lang w:val="en-US"/>
        </w:rPr>
        <w:t>20</w:t>
      </w:r>
      <w:r>
        <w:rPr>
          <w:rFonts w:cs="Arial"/>
          <w:lang w:val="en-US"/>
        </w:rPr>
        <w:t>20</w:t>
      </w:r>
      <w:bookmarkEnd w:id="32"/>
    </w:p>
    <w:p w14:paraId="28778F27" w14:textId="5C59D00D" w:rsidR="00623664" w:rsidRPr="00623664" w:rsidRDefault="00623664" w:rsidP="00BF0618">
      <w:pPr>
        <w:pStyle w:val="ListParagraph"/>
        <w:numPr>
          <w:ilvl w:val="0"/>
          <w:numId w:val="4"/>
        </w:numPr>
        <w:spacing w:after="0" w:line="240" w:lineRule="auto"/>
        <w:rPr>
          <w:lang w:val="en-US"/>
        </w:rPr>
      </w:pPr>
      <w:bookmarkStart w:id="33" w:name="_Ref24037891"/>
      <w:bookmarkEnd w:id="26"/>
      <w:r w:rsidRPr="00623664">
        <w:rPr>
          <w:lang w:val="en-US"/>
        </w:rPr>
        <w:t>P149™/D</w:t>
      </w:r>
      <w:r w:rsidR="00C206DF">
        <w:rPr>
          <w:lang w:val="en-US"/>
        </w:rPr>
        <w:t>8</w:t>
      </w:r>
      <w:r w:rsidRPr="00623664">
        <w:rPr>
          <w:lang w:val="en-US"/>
        </w:rPr>
        <w:t xml:space="preserve">: </w:t>
      </w:r>
      <w:r>
        <w:rPr>
          <w:lang w:val="en-US"/>
        </w:rPr>
        <w:t>“</w:t>
      </w:r>
      <w:r w:rsidRPr="00623664">
        <w:rPr>
          <w:lang w:val="en-US"/>
        </w:rPr>
        <w:t>Draft Recommended Practice for Antenna Measurements</w:t>
      </w:r>
      <w:r>
        <w:rPr>
          <w:lang w:val="en-US"/>
        </w:rPr>
        <w:t>”</w:t>
      </w:r>
      <w:r w:rsidRPr="00623664">
        <w:rPr>
          <w:lang w:val="en-US"/>
        </w:rPr>
        <w:t>, Antennas and Propagation Standards Committee of the IEEE Antennas and Propagation Society</w:t>
      </w:r>
      <w:r>
        <w:rPr>
          <w:lang w:val="en-US"/>
        </w:rPr>
        <w:t xml:space="preserve">, </w:t>
      </w:r>
      <w:r w:rsidR="00C206DF">
        <w:rPr>
          <w:lang w:val="en-US"/>
        </w:rPr>
        <w:t>April 2020</w:t>
      </w:r>
      <w:r>
        <w:rPr>
          <w:lang w:val="en-US"/>
        </w:rPr>
        <w:t>.</w:t>
      </w:r>
      <w:bookmarkEnd w:id="33"/>
    </w:p>
    <w:p w14:paraId="17C64EBC" w14:textId="3AB961CC" w:rsidR="006C16F1" w:rsidRPr="00E02073" w:rsidRDefault="006C16F1" w:rsidP="006C16F1">
      <w:pPr>
        <w:pStyle w:val="ListParagraph"/>
        <w:numPr>
          <w:ilvl w:val="0"/>
          <w:numId w:val="4"/>
        </w:numPr>
        <w:spacing w:after="0" w:line="240" w:lineRule="auto"/>
        <w:rPr>
          <w:lang w:val="en-US"/>
        </w:rPr>
      </w:pPr>
      <w:r w:rsidRPr="00E02073">
        <w:rPr>
          <w:lang w:val="en-US"/>
        </w:rPr>
        <w:t xml:space="preserve">R.  Haupt,  </w:t>
      </w:r>
      <w:r w:rsidR="00FC0201" w:rsidRPr="00E02073">
        <w:rPr>
          <w:lang w:val="en-US"/>
        </w:rPr>
        <w:t>“</w:t>
      </w:r>
      <w:r w:rsidRPr="00E02073">
        <w:rPr>
          <w:lang w:val="en-US"/>
        </w:rPr>
        <w:t>Generating  a  Plane  Wave  in  the  Near  Field  with  a  Planar Array Antenna</w:t>
      </w:r>
      <w:r w:rsidR="00FC0201" w:rsidRPr="00E02073">
        <w:rPr>
          <w:lang w:val="en-US"/>
        </w:rPr>
        <w:t>”</w:t>
      </w:r>
      <w:r w:rsidRPr="00E02073">
        <w:rPr>
          <w:lang w:val="en-US"/>
        </w:rPr>
        <w:t>, Microwave Journal, September 2003</w:t>
      </w:r>
    </w:p>
    <w:p w14:paraId="2DC752C5" w14:textId="77777777" w:rsidR="006C16F1" w:rsidRPr="00E02073" w:rsidRDefault="006C16F1" w:rsidP="006C16F1">
      <w:pPr>
        <w:pStyle w:val="ListParagraph"/>
        <w:numPr>
          <w:ilvl w:val="0"/>
          <w:numId w:val="4"/>
        </w:numPr>
        <w:spacing w:after="0" w:line="240" w:lineRule="auto"/>
        <w:rPr>
          <w:lang w:val="en-US"/>
        </w:rPr>
      </w:pPr>
      <w:r w:rsidRPr="00E02073">
        <w:rPr>
          <w:lang w:val="en-US"/>
        </w:rPr>
        <w:lastRenderedPageBreak/>
        <w:t>C. Rowell, A. Tankielun, “Plane Wave Converter for 5G Massive MIMO Basestation Measurements”, the 12th European Conference on Antennas and Propagation (EuCAP2018), London, UK, 9 - 13 April, 2018</w:t>
      </w:r>
    </w:p>
    <w:p w14:paraId="2456987B" w14:textId="5BEC656A" w:rsidR="00FA477A" w:rsidRDefault="006C16F1" w:rsidP="006C16F1">
      <w:pPr>
        <w:pStyle w:val="ListParagraph"/>
        <w:numPr>
          <w:ilvl w:val="0"/>
          <w:numId w:val="4"/>
        </w:numPr>
        <w:spacing w:after="0" w:line="240" w:lineRule="auto"/>
        <w:rPr>
          <w:lang w:val="en-US"/>
        </w:rPr>
      </w:pPr>
      <w:r w:rsidRPr="00E02073">
        <w:rPr>
          <w:lang w:val="en-US"/>
        </w:rPr>
        <w:t>B. Derat, “Creating Far-field Condition at a Tenth of Far-field Distance: An Innovative Technique for 5G OTA measurement”, Electronic Design Innovation Conference (EDICON), Beijing, China, 20 – 22 March, 2018</w:t>
      </w:r>
      <w:bookmarkEnd w:id="1"/>
      <w:bookmarkEnd w:id="2"/>
    </w:p>
    <w:p w14:paraId="5C841366" w14:textId="77777777" w:rsidR="00016C07" w:rsidRPr="00366398" w:rsidRDefault="00016C07" w:rsidP="00016C07">
      <w:pPr>
        <w:pStyle w:val="ListParagraph"/>
        <w:numPr>
          <w:ilvl w:val="0"/>
          <w:numId w:val="0"/>
        </w:numPr>
        <w:spacing w:after="0" w:line="240" w:lineRule="auto"/>
        <w:ind w:left="360"/>
        <w:rPr>
          <w:highlight w:val="yellow"/>
          <w:lang w:val="en-US"/>
        </w:rPr>
      </w:pPr>
    </w:p>
    <w:p w14:paraId="7E19E926" w14:textId="77777777" w:rsidR="00016C07" w:rsidRPr="00016C07" w:rsidRDefault="00016C07" w:rsidP="00016C07">
      <w:pPr>
        <w:spacing w:after="0" w:line="240" w:lineRule="auto"/>
      </w:pPr>
    </w:p>
    <w:sectPr w:rsidR="00016C07" w:rsidRPr="00016C07" w:rsidSect="003838EA">
      <w:footerReference w:type="default" r:id="rId14"/>
      <w:type w:val="continuous"/>
      <w:pgSz w:w="12240" w:h="15840"/>
      <w:pgMar w:top="1440" w:right="1440" w:bottom="1134"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738D93" w16cid:durableId="233D7F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64625" w14:textId="77777777" w:rsidR="00844943" w:rsidRDefault="00844943" w:rsidP="00371D7D">
      <w:r>
        <w:separator/>
      </w:r>
    </w:p>
  </w:endnote>
  <w:endnote w:type="continuationSeparator" w:id="0">
    <w:p w14:paraId="526E4E65" w14:textId="77777777" w:rsidR="00844943" w:rsidRDefault="0084494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6111AFF8" w:rsidR="005D0416" w:rsidRPr="000E7B1E" w:rsidRDefault="005D0416" w:rsidP="00D81F96">
    <w:pPr>
      <w:pStyle w:val="Footer"/>
    </w:pPr>
    <w:r>
      <w:rPr>
        <w:noProof w:val="0"/>
      </w:rPr>
      <w:t xml:space="preserve">Page </w:t>
    </w:r>
    <w:r>
      <w:fldChar w:fldCharType="begin"/>
    </w:r>
    <w:r>
      <w:instrText xml:space="preserve"> PAGE   \* MERGEFORMAT </w:instrText>
    </w:r>
    <w:r>
      <w:fldChar w:fldCharType="separate"/>
    </w:r>
    <w:r w:rsidR="0070583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93593" w14:textId="77777777" w:rsidR="00844943" w:rsidRDefault="00844943" w:rsidP="00371D7D">
      <w:r>
        <w:separator/>
      </w:r>
    </w:p>
  </w:footnote>
  <w:footnote w:type="continuationSeparator" w:id="0">
    <w:p w14:paraId="37F72DB8" w14:textId="77777777" w:rsidR="00844943" w:rsidRDefault="00844943"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76330"/>
    <w:multiLevelType w:val="hybridMultilevel"/>
    <w:tmpl w:val="7EAE4EFC"/>
    <w:lvl w:ilvl="0" w:tplc="04090001">
      <w:start w:val="1"/>
      <w:numFmt w:val="bullet"/>
      <w:lvlText w:val=""/>
      <w:lvlJc w:val="left"/>
      <w:pPr>
        <w:ind w:left="720" w:hanging="360"/>
      </w:pPr>
      <w:rPr>
        <w:rFonts w:ascii="Symbol" w:hAnsi="Symbol" w:hint="default"/>
      </w:rPr>
    </w:lvl>
    <w:lvl w:ilvl="1" w:tplc="72CEC896">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BA6609"/>
    <w:multiLevelType w:val="hybridMultilevel"/>
    <w:tmpl w:val="5ADC085C"/>
    <w:lvl w:ilvl="0" w:tplc="C492C464">
      <w:start w:val="78"/>
      <w:numFmt w:val="bullet"/>
      <w:lvlText w:val=""/>
      <w:lvlJc w:val="left"/>
      <w:pPr>
        <w:tabs>
          <w:tab w:val="num" w:pos="785"/>
        </w:tabs>
        <w:ind w:left="785" w:hanging="360"/>
      </w:pPr>
      <w:rPr>
        <w:rFonts w:ascii="Wingdings" w:hAnsi="Wingdings"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5"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10"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5B19"/>
    <w:multiLevelType w:val="hybridMultilevel"/>
    <w:tmpl w:val="0C4C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1630E"/>
    <w:multiLevelType w:val="hybridMultilevel"/>
    <w:tmpl w:val="7FDC928A"/>
    <w:lvl w:ilvl="0" w:tplc="D0BE9188">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7A2C86"/>
    <w:multiLevelType w:val="hybridMultilevel"/>
    <w:tmpl w:val="8A8464EE"/>
    <w:lvl w:ilvl="0" w:tplc="8F648AAE">
      <w:start w:val="1"/>
      <w:numFmt w:val="bullet"/>
      <w:lvlText w:val="ı"/>
      <w:lvlJc w:val="left"/>
      <w:pPr>
        <w:tabs>
          <w:tab w:val="num" w:pos="-1224"/>
        </w:tabs>
        <w:ind w:left="-1224" w:hanging="360"/>
      </w:pPr>
      <w:rPr>
        <w:rFonts w:ascii="Arial Black" w:hAnsi="Arial Black"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7"/>
  </w:num>
  <w:num w:numId="2">
    <w:abstractNumId w:val="16"/>
  </w:num>
  <w:num w:numId="3">
    <w:abstractNumId w:val="3"/>
  </w:num>
  <w:num w:numId="4">
    <w:abstractNumId w:val="6"/>
  </w:num>
  <w:num w:numId="5">
    <w:abstractNumId w:val="12"/>
  </w:num>
  <w:num w:numId="6">
    <w:abstractNumId w:val="8"/>
  </w:num>
  <w:num w:numId="7">
    <w:abstractNumId w:val="14"/>
  </w:num>
  <w:num w:numId="8">
    <w:abstractNumId w:val="9"/>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7"/>
  </w:num>
  <w:num w:numId="10">
    <w:abstractNumId w:val="3"/>
  </w:num>
  <w:num w:numId="11">
    <w:abstractNumId w:val="10"/>
  </w:num>
  <w:num w:numId="12">
    <w:abstractNumId w:val="5"/>
  </w:num>
  <w:num w:numId="13">
    <w:abstractNumId w:val="11"/>
  </w:num>
  <w:num w:numId="14">
    <w:abstractNumId w:val="15"/>
  </w:num>
  <w:num w:numId="15">
    <w:abstractNumId w:val="1"/>
  </w:num>
  <w:num w:numId="16">
    <w:abstractNumId w:val="7"/>
  </w:num>
  <w:num w:numId="17">
    <w:abstractNumId w:val="7"/>
  </w:num>
  <w:num w:numId="18">
    <w:abstractNumId w:val="7"/>
  </w:num>
  <w:num w:numId="19">
    <w:abstractNumId w:val="7"/>
  </w:num>
  <w:num w:numId="20">
    <w:abstractNumId w:val="2"/>
  </w:num>
  <w:num w:numId="21">
    <w:abstractNumId w:val="18"/>
  </w:num>
  <w:num w:numId="22">
    <w:abstractNumId w:val="13"/>
  </w:num>
  <w:num w:numId="23">
    <w:abstractNumId w:val="0"/>
  </w:num>
  <w:num w:numId="24">
    <w:abstractNumId w:val="3"/>
  </w:num>
  <w:num w:numId="25">
    <w:abstractNumId w:val="7"/>
  </w:num>
  <w:num w:numId="26">
    <w:abstractNumId w:val="4"/>
  </w:num>
  <w:num w:numId="27">
    <w:abstractNumId w:val="3"/>
  </w:num>
  <w:num w:numId="28">
    <w:abstractNumId w:val="3"/>
  </w:num>
  <w:num w:numId="29">
    <w:abstractNumId w:val="3"/>
  </w:num>
  <w:num w:numId="30">
    <w:abstractNumId w:val="3"/>
  </w:num>
  <w:num w:numId="31">
    <w:abstractNumId w:val="17"/>
  </w:num>
  <w:num w:numId="3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048"/>
    <w:rsid w:val="00002537"/>
    <w:rsid w:val="0000298C"/>
    <w:rsid w:val="000051DE"/>
    <w:rsid w:val="00011DA7"/>
    <w:rsid w:val="00011DE0"/>
    <w:rsid w:val="00013807"/>
    <w:rsid w:val="00014639"/>
    <w:rsid w:val="00016C07"/>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1782"/>
    <w:rsid w:val="00044187"/>
    <w:rsid w:val="0004547C"/>
    <w:rsid w:val="00047428"/>
    <w:rsid w:val="00047E75"/>
    <w:rsid w:val="0006221F"/>
    <w:rsid w:val="00063C4D"/>
    <w:rsid w:val="000652BE"/>
    <w:rsid w:val="00065304"/>
    <w:rsid w:val="0006555A"/>
    <w:rsid w:val="00065B4E"/>
    <w:rsid w:val="00072CF5"/>
    <w:rsid w:val="000737B1"/>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0FDE"/>
    <w:rsid w:val="000A262C"/>
    <w:rsid w:val="000A2FB0"/>
    <w:rsid w:val="000A3642"/>
    <w:rsid w:val="000A6628"/>
    <w:rsid w:val="000A76DA"/>
    <w:rsid w:val="000B0F54"/>
    <w:rsid w:val="000B2981"/>
    <w:rsid w:val="000B3006"/>
    <w:rsid w:val="000B3739"/>
    <w:rsid w:val="000B663A"/>
    <w:rsid w:val="000B7597"/>
    <w:rsid w:val="000B7FC7"/>
    <w:rsid w:val="000C194F"/>
    <w:rsid w:val="000C2BDD"/>
    <w:rsid w:val="000C310E"/>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D39"/>
    <w:rsid w:val="00101D5E"/>
    <w:rsid w:val="0010446A"/>
    <w:rsid w:val="00105179"/>
    <w:rsid w:val="00106C98"/>
    <w:rsid w:val="0010792C"/>
    <w:rsid w:val="00107C63"/>
    <w:rsid w:val="001102C9"/>
    <w:rsid w:val="00110B13"/>
    <w:rsid w:val="001112F3"/>
    <w:rsid w:val="001114C1"/>
    <w:rsid w:val="00112164"/>
    <w:rsid w:val="001137DA"/>
    <w:rsid w:val="0011436A"/>
    <w:rsid w:val="001147B0"/>
    <w:rsid w:val="00114995"/>
    <w:rsid w:val="00115455"/>
    <w:rsid w:val="00116DFF"/>
    <w:rsid w:val="001178F0"/>
    <w:rsid w:val="00117F9C"/>
    <w:rsid w:val="00123745"/>
    <w:rsid w:val="00125591"/>
    <w:rsid w:val="001269B5"/>
    <w:rsid w:val="00126CE6"/>
    <w:rsid w:val="00126F41"/>
    <w:rsid w:val="00126F62"/>
    <w:rsid w:val="00132BDD"/>
    <w:rsid w:val="001339FF"/>
    <w:rsid w:val="001378A7"/>
    <w:rsid w:val="0015068F"/>
    <w:rsid w:val="00151633"/>
    <w:rsid w:val="001526E5"/>
    <w:rsid w:val="001530C0"/>
    <w:rsid w:val="00153604"/>
    <w:rsid w:val="001553DE"/>
    <w:rsid w:val="0015692F"/>
    <w:rsid w:val="001617AA"/>
    <w:rsid w:val="00162228"/>
    <w:rsid w:val="0016379A"/>
    <w:rsid w:val="00164040"/>
    <w:rsid w:val="00164B67"/>
    <w:rsid w:val="00167CAD"/>
    <w:rsid w:val="00167FB4"/>
    <w:rsid w:val="00170838"/>
    <w:rsid w:val="00170F3C"/>
    <w:rsid w:val="0017275D"/>
    <w:rsid w:val="00172D17"/>
    <w:rsid w:val="00173532"/>
    <w:rsid w:val="00173AFB"/>
    <w:rsid w:val="001747B0"/>
    <w:rsid w:val="00174ED5"/>
    <w:rsid w:val="00175A4F"/>
    <w:rsid w:val="00176658"/>
    <w:rsid w:val="00176770"/>
    <w:rsid w:val="00176791"/>
    <w:rsid w:val="00180379"/>
    <w:rsid w:val="00180494"/>
    <w:rsid w:val="001810A2"/>
    <w:rsid w:val="00184003"/>
    <w:rsid w:val="00193A32"/>
    <w:rsid w:val="001944C6"/>
    <w:rsid w:val="001A042A"/>
    <w:rsid w:val="001A0F3C"/>
    <w:rsid w:val="001A2E0D"/>
    <w:rsid w:val="001B0670"/>
    <w:rsid w:val="001B0742"/>
    <w:rsid w:val="001B137F"/>
    <w:rsid w:val="001B2191"/>
    <w:rsid w:val="001B38BA"/>
    <w:rsid w:val="001C0304"/>
    <w:rsid w:val="001C0307"/>
    <w:rsid w:val="001C0EA6"/>
    <w:rsid w:val="001C1D01"/>
    <w:rsid w:val="001C2408"/>
    <w:rsid w:val="001C4E17"/>
    <w:rsid w:val="001C6A9C"/>
    <w:rsid w:val="001C766E"/>
    <w:rsid w:val="001D1D1A"/>
    <w:rsid w:val="001D27CE"/>
    <w:rsid w:val="001D369F"/>
    <w:rsid w:val="001D5A32"/>
    <w:rsid w:val="001D78E4"/>
    <w:rsid w:val="001E0014"/>
    <w:rsid w:val="001E0A0B"/>
    <w:rsid w:val="001E0E97"/>
    <w:rsid w:val="001E190C"/>
    <w:rsid w:val="001E30F0"/>
    <w:rsid w:val="001E540B"/>
    <w:rsid w:val="001E5776"/>
    <w:rsid w:val="001E6E32"/>
    <w:rsid w:val="001E73BE"/>
    <w:rsid w:val="001E7B76"/>
    <w:rsid w:val="001F0673"/>
    <w:rsid w:val="001F20DA"/>
    <w:rsid w:val="001F4112"/>
    <w:rsid w:val="001F4E39"/>
    <w:rsid w:val="001F506E"/>
    <w:rsid w:val="001F5452"/>
    <w:rsid w:val="001F6CC0"/>
    <w:rsid w:val="00206F1C"/>
    <w:rsid w:val="002101B8"/>
    <w:rsid w:val="00210BB9"/>
    <w:rsid w:val="002119D0"/>
    <w:rsid w:val="00211B0D"/>
    <w:rsid w:val="00213151"/>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708"/>
    <w:rsid w:val="00242A1D"/>
    <w:rsid w:val="0024490F"/>
    <w:rsid w:val="0024790C"/>
    <w:rsid w:val="0025085A"/>
    <w:rsid w:val="00250903"/>
    <w:rsid w:val="00251FDB"/>
    <w:rsid w:val="00252AE0"/>
    <w:rsid w:val="002548E2"/>
    <w:rsid w:val="00255A8A"/>
    <w:rsid w:val="00257251"/>
    <w:rsid w:val="00260358"/>
    <w:rsid w:val="002634DB"/>
    <w:rsid w:val="0026652B"/>
    <w:rsid w:val="002674A8"/>
    <w:rsid w:val="002700B4"/>
    <w:rsid w:val="0027049D"/>
    <w:rsid w:val="002759B6"/>
    <w:rsid w:val="00276F00"/>
    <w:rsid w:val="00281F3F"/>
    <w:rsid w:val="00282191"/>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0FF8"/>
    <w:rsid w:val="002A134F"/>
    <w:rsid w:val="002A2AB2"/>
    <w:rsid w:val="002A2FEC"/>
    <w:rsid w:val="002A58FD"/>
    <w:rsid w:val="002A6297"/>
    <w:rsid w:val="002A659B"/>
    <w:rsid w:val="002B1072"/>
    <w:rsid w:val="002B111A"/>
    <w:rsid w:val="002B3C4B"/>
    <w:rsid w:val="002B5523"/>
    <w:rsid w:val="002B5708"/>
    <w:rsid w:val="002B5F65"/>
    <w:rsid w:val="002B7900"/>
    <w:rsid w:val="002C098B"/>
    <w:rsid w:val="002C3A4F"/>
    <w:rsid w:val="002C48E9"/>
    <w:rsid w:val="002C709D"/>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298"/>
    <w:rsid w:val="00315F9F"/>
    <w:rsid w:val="00316256"/>
    <w:rsid w:val="00316376"/>
    <w:rsid w:val="00316F3F"/>
    <w:rsid w:val="003200D8"/>
    <w:rsid w:val="00320422"/>
    <w:rsid w:val="00322466"/>
    <w:rsid w:val="00325E32"/>
    <w:rsid w:val="0032672D"/>
    <w:rsid w:val="003300C3"/>
    <w:rsid w:val="00330686"/>
    <w:rsid w:val="003321C2"/>
    <w:rsid w:val="00332D69"/>
    <w:rsid w:val="003344C4"/>
    <w:rsid w:val="00334F04"/>
    <w:rsid w:val="003359BD"/>
    <w:rsid w:val="0033631F"/>
    <w:rsid w:val="003434B3"/>
    <w:rsid w:val="00344B2B"/>
    <w:rsid w:val="00347B51"/>
    <w:rsid w:val="0035204A"/>
    <w:rsid w:val="0036038D"/>
    <w:rsid w:val="003607C5"/>
    <w:rsid w:val="003608E0"/>
    <w:rsid w:val="003660C7"/>
    <w:rsid w:val="00366398"/>
    <w:rsid w:val="003664A2"/>
    <w:rsid w:val="00367E6D"/>
    <w:rsid w:val="00371D7D"/>
    <w:rsid w:val="003722DF"/>
    <w:rsid w:val="00372474"/>
    <w:rsid w:val="003728C6"/>
    <w:rsid w:val="00372DAC"/>
    <w:rsid w:val="003750AC"/>
    <w:rsid w:val="0037628E"/>
    <w:rsid w:val="00377106"/>
    <w:rsid w:val="00377AA7"/>
    <w:rsid w:val="003812CA"/>
    <w:rsid w:val="003838EA"/>
    <w:rsid w:val="00384B70"/>
    <w:rsid w:val="0038590F"/>
    <w:rsid w:val="00387729"/>
    <w:rsid w:val="003900C2"/>
    <w:rsid w:val="003A16D1"/>
    <w:rsid w:val="003A1D27"/>
    <w:rsid w:val="003A575F"/>
    <w:rsid w:val="003A66EB"/>
    <w:rsid w:val="003A7774"/>
    <w:rsid w:val="003B0595"/>
    <w:rsid w:val="003B0EF9"/>
    <w:rsid w:val="003B1E3D"/>
    <w:rsid w:val="003B1E95"/>
    <w:rsid w:val="003B4147"/>
    <w:rsid w:val="003B4C4E"/>
    <w:rsid w:val="003B5223"/>
    <w:rsid w:val="003B5543"/>
    <w:rsid w:val="003B6518"/>
    <w:rsid w:val="003B7288"/>
    <w:rsid w:val="003C1CA1"/>
    <w:rsid w:val="003C3D66"/>
    <w:rsid w:val="003C4DDA"/>
    <w:rsid w:val="003C5B3F"/>
    <w:rsid w:val="003D0E5C"/>
    <w:rsid w:val="003D3FB9"/>
    <w:rsid w:val="003D51E6"/>
    <w:rsid w:val="003D529C"/>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4F3"/>
    <w:rsid w:val="00422D63"/>
    <w:rsid w:val="00423201"/>
    <w:rsid w:val="004237A9"/>
    <w:rsid w:val="004257E2"/>
    <w:rsid w:val="0043036D"/>
    <w:rsid w:val="004324FB"/>
    <w:rsid w:val="004325A5"/>
    <w:rsid w:val="004339C9"/>
    <w:rsid w:val="004340EB"/>
    <w:rsid w:val="00434839"/>
    <w:rsid w:val="004372AD"/>
    <w:rsid w:val="0044133D"/>
    <w:rsid w:val="00442027"/>
    <w:rsid w:val="00445AC3"/>
    <w:rsid w:val="00445FD4"/>
    <w:rsid w:val="004460ED"/>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6551"/>
    <w:rsid w:val="00477362"/>
    <w:rsid w:val="00477BB8"/>
    <w:rsid w:val="00480E62"/>
    <w:rsid w:val="004812E1"/>
    <w:rsid w:val="00481B3C"/>
    <w:rsid w:val="004858E1"/>
    <w:rsid w:val="0048673D"/>
    <w:rsid w:val="00487F95"/>
    <w:rsid w:val="00487FC3"/>
    <w:rsid w:val="00491A62"/>
    <w:rsid w:val="00492977"/>
    <w:rsid w:val="0049310F"/>
    <w:rsid w:val="0049394D"/>
    <w:rsid w:val="00493E67"/>
    <w:rsid w:val="00493FA6"/>
    <w:rsid w:val="00495D57"/>
    <w:rsid w:val="004A04A5"/>
    <w:rsid w:val="004A2F58"/>
    <w:rsid w:val="004A3115"/>
    <w:rsid w:val="004A3D93"/>
    <w:rsid w:val="004A4033"/>
    <w:rsid w:val="004A5815"/>
    <w:rsid w:val="004A60F7"/>
    <w:rsid w:val="004A79DF"/>
    <w:rsid w:val="004B0619"/>
    <w:rsid w:val="004B0EE9"/>
    <w:rsid w:val="004B4C96"/>
    <w:rsid w:val="004B5412"/>
    <w:rsid w:val="004B682C"/>
    <w:rsid w:val="004C0EA3"/>
    <w:rsid w:val="004C2D34"/>
    <w:rsid w:val="004C6EB0"/>
    <w:rsid w:val="004D2783"/>
    <w:rsid w:val="004D2DCF"/>
    <w:rsid w:val="004D54FF"/>
    <w:rsid w:val="004D74F3"/>
    <w:rsid w:val="004E1C4C"/>
    <w:rsid w:val="004E1ED2"/>
    <w:rsid w:val="004E2925"/>
    <w:rsid w:val="004E3358"/>
    <w:rsid w:val="004E3BCC"/>
    <w:rsid w:val="004E4907"/>
    <w:rsid w:val="004E5B2D"/>
    <w:rsid w:val="004F00C8"/>
    <w:rsid w:val="004F0412"/>
    <w:rsid w:val="004F17EE"/>
    <w:rsid w:val="004F27A7"/>
    <w:rsid w:val="004F2BF4"/>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6E2"/>
    <w:rsid w:val="00530726"/>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4D8"/>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517E"/>
    <w:rsid w:val="005C5210"/>
    <w:rsid w:val="005C5E8E"/>
    <w:rsid w:val="005C70F1"/>
    <w:rsid w:val="005C7FBB"/>
    <w:rsid w:val="005D0416"/>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65D"/>
    <w:rsid w:val="00623664"/>
    <w:rsid w:val="00626288"/>
    <w:rsid w:val="00627053"/>
    <w:rsid w:val="006276EE"/>
    <w:rsid w:val="00630334"/>
    <w:rsid w:val="0063332F"/>
    <w:rsid w:val="00633773"/>
    <w:rsid w:val="0063395B"/>
    <w:rsid w:val="00635940"/>
    <w:rsid w:val="006366AD"/>
    <w:rsid w:val="00640E01"/>
    <w:rsid w:val="00641EC6"/>
    <w:rsid w:val="00645237"/>
    <w:rsid w:val="006466C9"/>
    <w:rsid w:val="00652517"/>
    <w:rsid w:val="00654178"/>
    <w:rsid w:val="00656DEA"/>
    <w:rsid w:val="00657198"/>
    <w:rsid w:val="0066196E"/>
    <w:rsid w:val="00664F1A"/>
    <w:rsid w:val="00667A9C"/>
    <w:rsid w:val="00674D96"/>
    <w:rsid w:val="00675624"/>
    <w:rsid w:val="00677DE2"/>
    <w:rsid w:val="00680FDD"/>
    <w:rsid w:val="00682781"/>
    <w:rsid w:val="0068305A"/>
    <w:rsid w:val="00683E9D"/>
    <w:rsid w:val="00684FC7"/>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34DE"/>
    <w:rsid w:val="006B41BC"/>
    <w:rsid w:val="006B42F9"/>
    <w:rsid w:val="006B508B"/>
    <w:rsid w:val="006B7575"/>
    <w:rsid w:val="006C049B"/>
    <w:rsid w:val="006C1445"/>
    <w:rsid w:val="006C16F1"/>
    <w:rsid w:val="006C388F"/>
    <w:rsid w:val="006C4E24"/>
    <w:rsid w:val="006C60BB"/>
    <w:rsid w:val="006C6ACE"/>
    <w:rsid w:val="006C73AA"/>
    <w:rsid w:val="006C74FF"/>
    <w:rsid w:val="006D14FC"/>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836"/>
    <w:rsid w:val="00706CB9"/>
    <w:rsid w:val="00707FFC"/>
    <w:rsid w:val="007110BC"/>
    <w:rsid w:val="00712BF6"/>
    <w:rsid w:val="007138CB"/>
    <w:rsid w:val="007174F8"/>
    <w:rsid w:val="00720003"/>
    <w:rsid w:val="00720FB7"/>
    <w:rsid w:val="007227BC"/>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727"/>
    <w:rsid w:val="00757D7D"/>
    <w:rsid w:val="00761AED"/>
    <w:rsid w:val="007636DE"/>
    <w:rsid w:val="007659E7"/>
    <w:rsid w:val="00765F55"/>
    <w:rsid w:val="007706D0"/>
    <w:rsid w:val="00773BDA"/>
    <w:rsid w:val="00773C96"/>
    <w:rsid w:val="00773DCA"/>
    <w:rsid w:val="007742E7"/>
    <w:rsid w:val="007744CF"/>
    <w:rsid w:val="00776D6B"/>
    <w:rsid w:val="007827F7"/>
    <w:rsid w:val="007842C7"/>
    <w:rsid w:val="007870F5"/>
    <w:rsid w:val="00787AFB"/>
    <w:rsid w:val="007927C1"/>
    <w:rsid w:val="00793EA4"/>
    <w:rsid w:val="007944C3"/>
    <w:rsid w:val="0079482D"/>
    <w:rsid w:val="00797969"/>
    <w:rsid w:val="007A0E5B"/>
    <w:rsid w:val="007A422E"/>
    <w:rsid w:val="007A68E2"/>
    <w:rsid w:val="007A69DE"/>
    <w:rsid w:val="007A7270"/>
    <w:rsid w:val="007B0207"/>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5E79"/>
    <w:rsid w:val="007D632A"/>
    <w:rsid w:val="007E144D"/>
    <w:rsid w:val="007E1A21"/>
    <w:rsid w:val="007E29DD"/>
    <w:rsid w:val="007E2EBC"/>
    <w:rsid w:val="007E4550"/>
    <w:rsid w:val="007E47C9"/>
    <w:rsid w:val="007E542F"/>
    <w:rsid w:val="007E6D3C"/>
    <w:rsid w:val="007E74D3"/>
    <w:rsid w:val="007E75B3"/>
    <w:rsid w:val="007F63B8"/>
    <w:rsid w:val="007F753E"/>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27517"/>
    <w:rsid w:val="00831E58"/>
    <w:rsid w:val="008340E9"/>
    <w:rsid w:val="0083554F"/>
    <w:rsid w:val="00836315"/>
    <w:rsid w:val="00837DB8"/>
    <w:rsid w:val="00844428"/>
    <w:rsid w:val="008446EC"/>
    <w:rsid w:val="00844943"/>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552"/>
    <w:rsid w:val="00882F18"/>
    <w:rsid w:val="00887996"/>
    <w:rsid w:val="008919FA"/>
    <w:rsid w:val="00894205"/>
    <w:rsid w:val="008948CA"/>
    <w:rsid w:val="008966F6"/>
    <w:rsid w:val="008A3CB8"/>
    <w:rsid w:val="008A4135"/>
    <w:rsid w:val="008A4ACE"/>
    <w:rsid w:val="008A4F4D"/>
    <w:rsid w:val="008A520C"/>
    <w:rsid w:val="008A5259"/>
    <w:rsid w:val="008A6A9C"/>
    <w:rsid w:val="008A7ABB"/>
    <w:rsid w:val="008B0514"/>
    <w:rsid w:val="008B12D0"/>
    <w:rsid w:val="008B3E44"/>
    <w:rsid w:val="008B4257"/>
    <w:rsid w:val="008B6859"/>
    <w:rsid w:val="008B7827"/>
    <w:rsid w:val="008B7853"/>
    <w:rsid w:val="008C142D"/>
    <w:rsid w:val="008C1DA5"/>
    <w:rsid w:val="008C2395"/>
    <w:rsid w:val="008C27DF"/>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1055"/>
    <w:rsid w:val="008F28BE"/>
    <w:rsid w:val="008F3E4A"/>
    <w:rsid w:val="008F4F09"/>
    <w:rsid w:val="008F5836"/>
    <w:rsid w:val="008F6239"/>
    <w:rsid w:val="008F6BB4"/>
    <w:rsid w:val="008F7FE8"/>
    <w:rsid w:val="00911FD9"/>
    <w:rsid w:val="00912CC8"/>
    <w:rsid w:val="00914141"/>
    <w:rsid w:val="00916784"/>
    <w:rsid w:val="00916934"/>
    <w:rsid w:val="009221F1"/>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169A"/>
    <w:rsid w:val="00962E59"/>
    <w:rsid w:val="0096309E"/>
    <w:rsid w:val="009657E8"/>
    <w:rsid w:val="00965D58"/>
    <w:rsid w:val="00966E9B"/>
    <w:rsid w:val="0097392B"/>
    <w:rsid w:val="009746F4"/>
    <w:rsid w:val="00974B95"/>
    <w:rsid w:val="009750F0"/>
    <w:rsid w:val="0097543A"/>
    <w:rsid w:val="00975F20"/>
    <w:rsid w:val="00976B03"/>
    <w:rsid w:val="00980DB1"/>
    <w:rsid w:val="0098326C"/>
    <w:rsid w:val="00984C8B"/>
    <w:rsid w:val="009863CE"/>
    <w:rsid w:val="0098722B"/>
    <w:rsid w:val="00987740"/>
    <w:rsid w:val="00987C1F"/>
    <w:rsid w:val="009926B6"/>
    <w:rsid w:val="00992865"/>
    <w:rsid w:val="0099496E"/>
    <w:rsid w:val="00997680"/>
    <w:rsid w:val="00997704"/>
    <w:rsid w:val="009A0E93"/>
    <w:rsid w:val="009A1270"/>
    <w:rsid w:val="009A17C4"/>
    <w:rsid w:val="009A525D"/>
    <w:rsid w:val="009A5C31"/>
    <w:rsid w:val="009B0820"/>
    <w:rsid w:val="009B1044"/>
    <w:rsid w:val="009B1F8E"/>
    <w:rsid w:val="009B5C36"/>
    <w:rsid w:val="009C0CB9"/>
    <w:rsid w:val="009C2950"/>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2B0E"/>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BA0"/>
    <w:rsid w:val="00A42596"/>
    <w:rsid w:val="00A43DCF"/>
    <w:rsid w:val="00A44C02"/>
    <w:rsid w:val="00A4537F"/>
    <w:rsid w:val="00A4764B"/>
    <w:rsid w:val="00A5075E"/>
    <w:rsid w:val="00A55AF2"/>
    <w:rsid w:val="00A57C7C"/>
    <w:rsid w:val="00A60934"/>
    <w:rsid w:val="00A60BB4"/>
    <w:rsid w:val="00A62362"/>
    <w:rsid w:val="00A63A28"/>
    <w:rsid w:val="00A644A5"/>
    <w:rsid w:val="00A64C86"/>
    <w:rsid w:val="00A67985"/>
    <w:rsid w:val="00A6798F"/>
    <w:rsid w:val="00A7325E"/>
    <w:rsid w:val="00A76DBE"/>
    <w:rsid w:val="00A777EC"/>
    <w:rsid w:val="00A80346"/>
    <w:rsid w:val="00A80748"/>
    <w:rsid w:val="00A824ED"/>
    <w:rsid w:val="00A8311E"/>
    <w:rsid w:val="00A86604"/>
    <w:rsid w:val="00A87C7B"/>
    <w:rsid w:val="00A90FCA"/>
    <w:rsid w:val="00A938DE"/>
    <w:rsid w:val="00A95090"/>
    <w:rsid w:val="00A9514D"/>
    <w:rsid w:val="00A96690"/>
    <w:rsid w:val="00A97BF8"/>
    <w:rsid w:val="00AA04CC"/>
    <w:rsid w:val="00AA0D07"/>
    <w:rsid w:val="00AA0F9B"/>
    <w:rsid w:val="00AA1DE0"/>
    <w:rsid w:val="00AA3AF8"/>
    <w:rsid w:val="00AA66CB"/>
    <w:rsid w:val="00AA7167"/>
    <w:rsid w:val="00AB01A5"/>
    <w:rsid w:val="00AB034A"/>
    <w:rsid w:val="00AB0D1B"/>
    <w:rsid w:val="00AB16B4"/>
    <w:rsid w:val="00AB16E7"/>
    <w:rsid w:val="00AB263D"/>
    <w:rsid w:val="00AB2BBC"/>
    <w:rsid w:val="00AB3CDD"/>
    <w:rsid w:val="00AB4ACC"/>
    <w:rsid w:val="00AB537D"/>
    <w:rsid w:val="00AB5616"/>
    <w:rsid w:val="00AB5D07"/>
    <w:rsid w:val="00AB79E4"/>
    <w:rsid w:val="00AB7EB0"/>
    <w:rsid w:val="00AC4279"/>
    <w:rsid w:val="00AC51D3"/>
    <w:rsid w:val="00AC5870"/>
    <w:rsid w:val="00AC78CA"/>
    <w:rsid w:val="00AC7A82"/>
    <w:rsid w:val="00AD1373"/>
    <w:rsid w:val="00AD1FA2"/>
    <w:rsid w:val="00AD2B85"/>
    <w:rsid w:val="00AD59A0"/>
    <w:rsid w:val="00AE0DAA"/>
    <w:rsid w:val="00AE18A0"/>
    <w:rsid w:val="00AE2847"/>
    <w:rsid w:val="00AE376A"/>
    <w:rsid w:val="00AE4566"/>
    <w:rsid w:val="00AE73D9"/>
    <w:rsid w:val="00AF0048"/>
    <w:rsid w:val="00AF2004"/>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3EB2"/>
    <w:rsid w:val="00B240D0"/>
    <w:rsid w:val="00B277E9"/>
    <w:rsid w:val="00B27923"/>
    <w:rsid w:val="00B30F45"/>
    <w:rsid w:val="00B319AF"/>
    <w:rsid w:val="00B31F06"/>
    <w:rsid w:val="00B33498"/>
    <w:rsid w:val="00B3360B"/>
    <w:rsid w:val="00B337D5"/>
    <w:rsid w:val="00B35629"/>
    <w:rsid w:val="00B37C19"/>
    <w:rsid w:val="00B413A7"/>
    <w:rsid w:val="00B42131"/>
    <w:rsid w:val="00B50A51"/>
    <w:rsid w:val="00B548F0"/>
    <w:rsid w:val="00B56E6A"/>
    <w:rsid w:val="00B57FE5"/>
    <w:rsid w:val="00B60110"/>
    <w:rsid w:val="00B61206"/>
    <w:rsid w:val="00B618F7"/>
    <w:rsid w:val="00B65660"/>
    <w:rsid w:val="00B65E1E"/>
    <w:rsid w:val="00B6706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A5DC5"/>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D7F49"/>
    <w:rsid w:val="00BE29DD"/>
    <w:rsid w:val="00BE5364"/>
    <w:rsid w:val="00BF1935"/>
    <w:rsid w:val="00BF268B"/>
    <w:rsid w:val="00BF416C"/>
    <w:rsid w:val="00BF525D"/>
    <w:rsid w:val="00BF7A2F"/>
    <w:rsid w:val="00C0043D"/>
    <w:rsid w:val="00C006B0"/>
    <w:rsid w:val="00C0127E"/>
    <w:rsid w:val="00C02E85"/>
    <w:rsid w:val="00C04CEB"/>
    <w:rsid w:val="00C066DF"/>
    <w:rsid w:val="00C074A2"/>
    <w:rsid w:val="00C112CE"/>
    <w:rsid w:val="00C142E1"/>
    <w:rsid w:val="00C14F5D"/>
    <w:rsid w:val="00C17F16"/>
    <w:rsid w:val="00C206DF"/>
    <w:rsid w:val="00C22CBC"/>
    <w:rsid w:val="00C24153"/>
    <w:rsid w:val="00C25111"/>
    <w:rsid w:val="00C253B8"/>
    <w:rsid w:val="00C26AD4"/>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1BB5"/>
    <w:rsid w:val="00C62A0A"/>
    <w:rsid w:val="00C6340E"/>
    <w:rsid w:val="00C65696"/>
    <w:rsid w:val="00C665B6"/>
    <w:rsid w:val="00C66AEC"/>
    <w:rsid w:val="00C67824"/>
    <w:rsid w:val="00C70448"/>
    <w:rsid w:val="00C72138"/>
    <w:rsid w:val="00C72DE3"/>
    <w:rsid w:val="00C74536"/>
    <w:rsid w:val="00C74FBC"/>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A6405"/>
    <w:rsid w:val="00CB0D44"/>
    <w:rsid w:val="00CB415C"/>
    <w:rsid w:val="00CB63DF"/>
    <w:rsid w:val="00CB6C80"/>
    <w:rsid w:val="00CC0DE9"/>
    <w:rsid w:val="00CC320C"/>
    <w:rsid w:val="00CC40C2"/>
    <w:rsid w:val="00CC6B35"/>
    <w:rsid w:val="00CC6DB6"/>
    <w:rsid w:val="00CD04C0"/>
    <w:rsid w:val="00CD1034"/>
    <w:rsid w:val="00CD46C7"/>
    <w:rsid w:val="00CD6800"/>
    <w:rsid w:val="00CD6B1A"/>
    <w:rsid w:val="00CE0BF9"/>
    <w:rsid w:val="00CE0D0F"/>
    <w:rsid w:val="00CE2567"/>
    <w:rsid w:val="00CE6A12"/>
    <w:rsid w:val="00CE7B33"/>
    <w:rsid w:val="00CE7B75"/>
    <w:rsid w:val="00CF23C9"/>
    <w:rsid w:val="00CF3ECE"/>
    <w:rsid w:val="00CF41D2"/>
    <w:rsid w:val="00CF7CE1"/>
    <w:rsid w:val="00D0035A"/>
    <w:rsid w:val="00D00B3C"/>
    <w:rsid w:val="00D0445C"/>
    <w:rsid w:val="00D04FCA"/>
    <w:rsid w:val="00D05BE4"/>
    <w:rsid w:val="00D071B9"/>
    <w:rsid w:val="00D10B4F"/>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44287"/>
    <w:rsid w:val="00D512B6"/>
    <w:rsid w:val="00D52C2F"/>
    <w:rsid w:val="00D572A7"/>
    <w:rsid w:val="00D608CC"/>
    <w:rsid w:val="00D60B40"/>
    <w:rsid w:val="00D6276B"/>
    <w:rsid w:val="00D628DC"/>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3364"/>
    <w:rsid w:val="00DA4754"/>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3C5E"/>
    <w:rsid w:val="00DD44FC"/>
    <w:rsid w:val="00DD6E41"/>
    <w:rsid w:val="00DD74FF"/>
    <w:rsid w:val="00DE1186"/>
    <w:rsid w:val="00DE15CD"/>
    <w:rsid w:val="00DE3025"/>
    <w:rsid w:val="00DE4417"/>
    <w:rsid w:val="00DE4E25"/>
    <w:rsid w:val="00DE6819"/>
    <w:rsid w:val="00DF19E8"/>
    <w:rsid w:val="00DF308F"/>
    <w:rsid w:val="00DF59DA"/>
    <w:rsid w:val="00DF6925"/>
    <w:rsid w:val="00E02073"/>
    <w:rsid w:val="00E03811"/>
    <w:rsid w:val="00E03F84"/>
    <w:rsid w:val="00E06663"/>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19B7"/>
    <w:rsid w:val="00E32C7A"/>
    <w:rsid w:val="00E33028"/>
    <w:rsid w:val="00E34070"/>
    <w:rsid w:val="00E35411"/>
    <w:rsid w:val="00E36562"/>
    <w:rsid w:val="00E37E67"/>
    <w:rsid w:val="00E4048A"/>
    <w:rsid w:val="00E408CF"/>
    <w:rsid w:val="00E41569"/>
    <w:rsid w:val="00E41929"/>
    <w:rsid w:val="00E42128"/>
    <w:rsid w:val="00E42E8E"/>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A7B"/>
    <w:rsid w:val="00EA4BE2"/>
    <w:rsid w:val="00EA4D76"/>
    <w:rsid w:val="00EA5264"/>
    <w:rsid w:val="00EB05C0"/>
    <w:rsid w:val="00EB0E5D"/>
    <w:rsid w:val="00EB21DE"/>
    <w:rsid w:val="00EB4866"/>
    <w:rsid w:val="00EB7838"/>
    <w:rsid w:val="00EB7CDF"/>
    <w:rsid w:val="00EC04F5"/>
    <w:rsid w:val="00EC0C9D"/>
    <w:rsid w:val="00EC1757"/>
    <w:rsid w:val="00EC5F39"/>
    <w:rsid w:val="00EC69BC"/>
    <w:rsid w:val="00ED1573"/>
    <w:rsid w:val="00ED533B"/>
    <w:rsid w:val="00ED5892"/>
    <w:rsid w:val="00EE0AC3"/>
    <w:rsid w:val="00EE17A9"/>
    <w:rsid w:val="00EE17D7"/>
    <w:rsid w:val="00EE326E"/>
    <w:rsid w:val="00EE33CE"/>
    <w:rsid w:val="00EE42C5"/>
    <w:rsid w:val="00EE4801"/>
    <w:rsid w:val="00EE49E6"/>
    <w:rsid w:val="00EE523D"/>
    <w:rsid w:val="00EE555F"/>
    <w:rsid w:val="00EE6715"/>
    <w:rsid w:val="00EF0BCA"/>
    <w:rsid w:val="00EF0E6A"/>
    <w:rsid w:val="00EF1BF6"/>
    <w:rsid w:val="00EF560B"/>
    <w:rsid w:val="00EF71E8"/>
    <w:rsid w:val="00F012A7"/>
    <w:rsid w:val="00F02B93"/>
    <w:rsid w:val="00F0327E"/>
    <w:rsid w:val="00F03F67"/>
    <w:rsid w:val="00F06974"/>
    <w:rsid w:val="00F07012"/>
    <w:rsid w:val="00F0740A"/>
    <w:rsid w:val="00F12AF0"/>
    <w:rsid w:val="00F12BF1"/>
    <w:rsid w:val="00F21DB6"/>
    <w:rsid w:val="00F222B3"/>
    <w:rsid w:val="00F22369"/>
    <w:rsid w:val="00F23075"/>
    <w:rsid w:val="00F2354A"/>
    <w:rsid w:val="00F23C22"/>
    <w:rsid w:val="00F24631"/>
    <w:rsid w:val="00F24EBC"/>
    <w:rsid w:val="00F254A4"/>
    <w:rsid w:val="00F30860"/>
    <w:rsid w:val="00F32C78"/>
    <w:rsid w:val="00F336EA"/>
    <w:rsid w:val="00F37787"/>
    <w:rsid w:val="00F409F0"/>
    <w:rsid w:val="00F40D01"/>
    <w:rsid w:val="00F410D4"/>
    <w:rsid w:val="00F41FC0"/>
    <w:rsid w:val="00F422D9"/>
    <w:rsid w:val="00F44D8A"/>
    <w:rsid w:val="00F4741C"/>
    <w:rsid w:val="00F51556"/>
    <w:rsid w:val="00F51DFF"/>
    <w:rsid w:val="00F52ABB"/>
    <w:rsid w:val="00F54C48"/>
    <w:rsid w:val="00F56AA6"/>
    <w:rsid w:val="00F611E0"/>
    <w:rsid w:val="00F619BC"/>
    <w:rsid w:val="00F65070"/>
    <w:rsid w:val="00F667D6"/>
    <w:rsid w:val="00F66C96"/>
    <w:rsid w:val="00F678D1"/>
    <w:rsid w:val="00F679E6"/>
    <w:rsid w:val="00F7035C"/>
    <w:rsid w:val="00F71811"/>
    <w:rsid w:val="00F744A8"/>
    <w:rsid w:val="00F747A8"/>
    <w:rsid w:val="00F7720E"/>
    <w:rsid w:val="00F81859"/>
    <w:rsid w:val="00F81B0D"/>
    <w:rsid w:val="00F836B8"/>
    <w:rsid w:val="00F85F78"/>
    <w:rsid w:val="00F86B37"/>
    <w:rsid w:val="00F86EB1"/>
    <w:rsid w:val="00F90336"/>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509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9B7"/>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48555636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26010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686596492">
      <w:bodyDiv w:val="1"/>
      <w:marLeft w:val="0"/>
      <w:marRight w:val="0"/>
      <w:marTop w:val="0"/>
      <w:marBottom w:val="0"/>
      <w:divBdr>
        <w:top w:val="none" w:sz="0" w:space="0" w:color="auto"/>
        <w:left w:val="none" w:sz="0" w:space="0" w:color="auto"/>
        <w:bottom w:val="none" w:sz="0" w:space="0" w:color="auto"/>
        <w:right w:val="none" w:sz="0" w:space="0" w:color="auto"/>
      </w:divBdr>
    </w:div>
    <w:div w:id="17209311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95826418">
      <w:bodyDiv w:val="1"/>
      <w:marLeft w:val="0"/>
      <w:marRight w:val="0"/>
      <w:marTop w:val="0"/>
      <w:marBottom w:val="0"/>
      <w:divBdr>
        <w:top w:val="none" w:sz="0" w:space="0" w:color="auto"/>
        <w:left w:val="none" w:sz="0" w:space="0" w:color="auto"/>
        <w:bottom w:val="none" w:sz="0" w:space="0" w:color="auto"/>
        <w:right w:val="none" w:sz="0" w:space="0" w:color="auto"/>
      </w:divBdr>
    </w:div>
    <w:div w:id="183398467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696450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ND3YPHQTDDEW-1543181176-131</_dlc_DocId>
    <_dlc_DocIdUrl xmlns="05fef6b6-48ff-4793-a586-dff4857ec2fd">
      <Url>https://sharepoint.rsint.net/teams/1S_Dev/_layouts/15/DocIdRedir.aspx?ID=ND3YPHQTDDEW-1543181176-131</Url>
      <Description>ND3YPHQTDDEW-1543181176-131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2B21-B59C-4F95-A0C7-A422FBFA90DF}">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3.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4.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CD8F61-BE90-4989-A14E-57175AF8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1032</Words>
  <Characters>5887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6906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2020-10-23T18:01:00Z</dcterms:created>
  <dcterms:modified xsi:type="dcterms:W3CDTF">2020-10-23T21:54:00Z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146af70f-ea40-41c7-a793-b386eb07a7d6</vt:lpwstr>
  </property>
</Properties>
</file>